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52" w:rsidRPr="007F1CB4" w:rsidRDefault="00BE0F52" w:rsidP="00BE0F52">
      <w:pPr>
        <w:jc w:val="center"/>
        <w:rPr>
          <w:b/>
          <w:lang w:val="hu-HU"/>
        </w:rPr>
      </w:pPr>
    </w:p>
    <w:p w:rsidR="00BE0F52" w:rsidRPr="007F1CB4" w:rsidRDefault="00BE0F52" w:rsidP="00BE0F52">
      <w:pPr>
        <w:jc w:val="center"/>
        <w:rPr>
          <w:b/>
          <w:lang w:val="hu-HU"/>
        </w:rPr>
      </w:pPr>
    </w:p>
    <w:p w:rsidR="00A5548D" w:rsidRPr="007F1CB4" w:rsidRDefault="00BE0F52" w:rsidP="00BE0F52">
      <w:pPr>
        <w:jc w:val="center"/>
        <w:rPr>
          <w:rFonts w:ascii="TimesNewRomanPS-BoldMT" w:eastAsiaTheme="minorHAnsi" w:hAnsi="TimesNewRomanPS-BoldMT" w:cs="TimesNewRomanPS-BoldMT"/>
          <w:b/>
          <w:bCs/>
          <w:lang w:val="hu-HU"/>
        </w:rPr>
      </w:pPr>
      <w:r w:rsidRPr="007F1CB4">
        <w:rPr>
          <w:b/>
          <w:lang w:val="hu-HU"/>
        </w:rPr>
        <w:t>A Természeti Erőforrások Kutató Központ k</w:t>
      </w:r>
      <w:r w:rsidR="00A5548D" w:rsidRPr="007F1CB4">
        <w:rPr>
          <w:rFonts w:ascii="TimesNewRomanPS-BoldMT" w:eastAsiaTheme="minorHAnsi" w:hAnsi="TimesNewRomanPS-BoldMT" w:cs="TimesNewRomanPS-BoldMT"/>
          <w:b/>
          <w:bCs/>
          <w:lang w:val="hu-HU"/>
        </w:rPr>
        <w:t>utatási</w:t>
      </w:r>
      <w:r w:rsidR="00A5548D" w:rsidRPr="007F1CB4">
        <w:rPr>
          <w:rFonts w:ascii="TimesNewRomanPS-BoldMT" w:eastAsiaTheme="minorHAnsi" w:hAnsi="TimesNewRomanPS-BoldMT" w:cs="TimesNewRomanPS-BoldMT"/>
          <w:b/>
          <w:bCs/>
          <w:lang w:val="hu-HU"/>
        </w:rPr>
        <w:t xml:space="preserve"> </w:t>
      </w:r>
      <w:r w:rsidR="00A5548D" w:rsidRPr="007F1CB4">
        <w:rPr>
          <w:rFonts w:ascii="TimesNewRomanPS-BoldMT" w:eastAsiaTheme="minorHAnsi" w:hAnsi="TimesNewRomanPS-BoldMT" w:cs="TimesNewRomanPS-BoldMT"/>
          <w:b/>
          <w:bCs/>
          <w:lang w:val="hu-HU"/>
        </w:rPr>
        <w:t>infrastruktúrájának külső felhasználók általi igénybevételére vonatkozó működési</w:t>
      </w:r>
      <w:r w:rsidR="00A5548D" w:rsidRPr="007F1CB4">
        <w:rPr>
          <w:rFonts w:ascii="TimesNewRomanPS-BoldMT" w:eastAsiaTheme="minorHAnsi" w:hAnsi="TimesNewRomanPS-BoldMT" w:cs="TimesNewRomanPS-BoldMT"/>
          <w:b/>
          <w:bCs/>
          <w:lang w:val="hu-HU"/>
        </w:rPr>
        <w:t xml:space="preserve"> </w:t>
      </w:r>
      <w:r w:rsidR="00A5548D" w:rsidRPr="007F1CB4">
        <w:rPr>
          <w:rFonts w:ascii="TimesNewRomanPS-BoldMT" w:eastAsiaTheme="minorHAnsi" w:hAnsi="TimesNewRomanPS-BoldMT" w:cs="TimesNewRomanPS-BoldMT"/>
          <w:b/>
          <w:bCs/>
          <w:lang w:val="hu-HU"/>
        </w:rPr>
        <w:t>szabályzata</w:t>
      </w:r>
    </w:p>
    <w:p w:rsidR="00A5548D" w:rsidRPr="007F1CB4" w:rsidRDefault="00A5548D" w:rsidP="00A5548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val="hu-HU"/>
        </w:rPr>
      </w:pPr>
    </w:p>
    <w:p w:rsidR="004B4F70" w:rsidRDefault="004B4F70" w:rsidP="004B4F7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val="hu-HU"/>
        </w:rPr>
      </w:pPr>
    </w:p>
    <w:p w:rsidR="00461E7C" w:rsidRPr="004B4F70" w:rsidRDefault="004B4F70" w:rsidP="00BE0F52">
      <w:pPr>
        <w:autoSpaceDE w:val="0"/>
        <w:autoSpaceDN w:val="0"/>
        <w:adjustRightInd w:val="0"/>
        <w:ind w:firstLine="360"/>
        <w:jc w:val="both"/>
        <w:rPr>
          <w:rFonts w:eastAsiaTheme="minorHAnsi"/>
          <w:lang w:val="hu-HU"/>
        </w:rPr>
      </w:pPr>
      <w:r>
        <w:rPr>
          <w:rFonts w:ascii="TimesNewRomanPSMT" w:eastAsiaTheme="minorHAnsi" w:hAnsi="TimesNewRomanPSMT" w:cs="TimesNewRomanPSMT"/>
          <w:lang w:val="hu-HU"/>
        </w:rPr>
        <w:t>J</w:t>
      </w:r>
      <w:r w:rsidR="00A5548D" w:rsidRPr="007F1CB4">
        <w:rPr>
          <w:rFonts w:ascii="TimesNewRomanPSMT" w:eastAsiaTheme="minorHAnsi" w:hAnsi="TimesNewRomanPSMT" w:cs="TimesNewRomanPSMT"/>
          <w:lang w:val="hu-HU"/>
        </w:rPr>
        <w:t xml:space="preserve">elen </w:t>
      </w:r>
      <w:r w:rsidR="00BE0F52" w:rsidRPr="007F1CB4">
        <w:rPr>
          <w:rFonts w:ascii="TimesNewRomanPSMT" w:eastAsiaTheme="minorHAnsi" w:hAnsi="TimesNewRomanPSMT" w:cs="TimesNewRomanPSMT"/>
          <w:lang w:val="hu-HU"/>
        </w:rPr>
        <w:t>működési s</w:t>
      </w:r>
      <w:r w:rsidR="00A5548D" w:rsidRPr="007F1CB4">
        <w:rPr>
          <w:rFonts w:ascii="TimesNewRomanPSMT" w:eastAsiaTheme="minorHAnsi" w:hAnsi="TimesNewRomanPSMT" w:cs="TimesNewRomanPSMT"/>
          <w:lang w:val="hu-HU"/>
        </w:rPr>
        <w:t>zabályzat célja, hogy szervezetének és működési kereteinek meghatározásával</w:t>
      </w:r>
      <w:r w:rsidR="00BE0F52" w:rsidRPr="007F1CB4">
        <w:rPr>
          <w:rFonts w:ascii="TimesNewRomanPSMT" w:eastAsiaTheme="minorHAnsi" w:hAnsi="TimesNewRomanPSMT" w:cs="TimesNewRomanPSMT"/>
          <w:lang w:val="hu-HU"/>
        </w:rPr>
        <w:t xml:space="preserve"> </w:t>
      </w:r>
      <w:r w:rsidR="00A5548D" w:rsidRPr="007F1CB4">
        <w:rPr>
          <w:rFonts w:ascii="TimesNewRomanPSMT" w:eastAsiaTheme="minorHAnsi" w:hAnsi="TimesNewRomanPSMT" w:cs="TimesNewRomanPSMT"/>
          <w:lang w:val="hu-HU"/>
        </w:rPr>
        <w:t xml:space="preserve">elősegítse a fenti intézetben (továbbiakban </w:t>
      </w:r>
      <w:r w:rsidR="00BE0F52" w:rsidRPr="007F1CB4">
        <w:rPr>
          <w:rFonts w:ascii="TimesNewRomanPSMT" w:eastAsiaTheme="minorHAnsi" w:hAnsi="TimesNewRomanPSMT" w:cs="TimesNewRomanPSMT"/>
          <w:lang w:val="hu-HU"/>
        </w:rPr>
        <w:t>NRRC-SKK</w:t>
      </w:r>
      <w:r w:rsidR="00A5548D" w:rsidRPr="007F1CB4">
        <w:rPr>
          <w:rFonts w:ascii="TimesNewRomanPSMT" w:eastAsiaTheme="minorHAnsi" w:hAnsi="TimesNewRomanPSMT" w:cs="TimesNewRomanPSMT"/>
          <w:lang w:val="hu-HU"/>
        </w:rPr>
        <w:t xml:space="preserve">) </w:t>
      </w:r>
      <w:r w:rsidR="00BE0F52" w:rsidRPr="007F1CB4">
        <w:rPr>
          <w:rFonts w:ascii="TimesNewRomanPSMT" w:eastAsiaTheme="minorHAnsi" w:hAnsi="TimesNewRomanPSMT" w:cs="TimesNewRomanPSMT"/>
          <w:lang w:val="hu-HU"/>
        </w:rPr>
        <w:t xml:space="preserve">és a hozzá tartozó laboratóriumokban </w:t>
      </w:r>
      <w:r w:rsidR="00A5548D" w:rsidRPr="007F1CB4">
        <w:rPr>
          <w:rFonts w:ascii="TimesNewRomanPSMT" w:eastAsiaTheme="minorHAnsi" w:hAnsi="TimesNewRomanPSMT" w:cs="TimesNewRomanPSMT"/>
          <w:lang w:val="hu-HU"/>
        </w:rPr>
        <w:t>fellelhető kutatási infrastruktúra</w:t>
      </w:r>
      <w:r w:rsidR="00BE0F52" w:rsidRPr="007F1CB4">
        <w:rPr>
          <w:rFonts w:ascii="TimesNewRomanPSMT" w:eastAsiaTheme="minorHAnsi" w:hAnsi="TimesNewRomanPSMT" w:cs="TimesNewRomanPSMT"/>
          <w:lang w:val="hu-HU"/>
        </w:rPr>
        <w:t xml:space="preserve"> </w:t>
      </w:r>
      <w:r w:rsidR="00A5548D" w:rsidRPr="007F1CB4">
        <w:rPr>
          <w:rFonts w:ascii="TimesNewRomanPSMT" w:eastAsiaTheme="minorHAnsi" w:hAnsi="TimesNewRomanPSMT" w:cs="TimesNewRomanPSMT"/>
          <w:lang w:val="hu-HU"/>
        </w:rPr>
        <w:t>működését</w:t>
      </w:r>
      <w:r>
        <w:rPr>
          <w:rFonts w:ascii="TimesNewRomanPSMT" w:eastAsiaTheme="minorHAnsi" w:hAnsi="TimesNewRomanPSMT" w:cs="TimesNewRomanPSMT"/>
          <w:lang w:val="hu-HU"/>
        </w:rPr>
        <w:t xml:space="preserve">, az ott folyó tevékenységeket </w:t>
      </w:r>
      <w:r w:rsidR="00A5548D" w:rsidRPr="007F1CB4">
        <w:rPr>
          <w:rFonts w:ascii="TimesNewRomanPSMT" w:eastAsiaTheme="minorHAnsi" w:hAnsi="TimesNewRomanPSMT" w:cs="TimesNewRomanPSMT"/>
          <w:lang w:val="hu-HU"/>
        </w:rPr>
        <w:t>és meghatározza az igénybevevő</w:t>
      </w:r>
      <w:r w:rsidR="00BE0F52" w:rsidRPr="007F1CB4">
        <w:rPr>
          <w:rFonts w:ascii="TimesNewRomanPSMT" w:eastAsiaTheme="minorHAnsi" w:hAnsi="TimesNewRomanPSMT" w:cs="TimesNewRomanPSMT"/>
          <w:lang w:val="hu-HU"/>
        </w:rPr>
        <w:t xml:space="preserve">k jogait, </w:t>
      </w:r>
      <w:r w:rsidR="00A5548D" w:rsidRPr="007F1CB4">
        <w:rPr>
          <w:rFonts w:ascii="TimesNewRomanPSMT" w:eastAsiaTheme="minorHAnsi" w:hAnsi="TimesNewRomanPSMT" w:cs="TimesNewRomanPSMT"/>
          <w:lang w:val="hu-HU"/>
        </w:rPr>
        <w:t>kötelezettség</w:t>
      </w:r>
      <w:r w:rsidR="00BE0F52" w:rsidRPr="007F1CB4">
        <w:rPr>
          <w:rFonts w:ascii="TimesNewRomanPSMT" w:eastAsiaTheme="minorHAnsi" w:hAnsi="TimesNewRomanPSMT" w:cs="TimesNewRomanPSMT"/>
          <w:lang w:val="hu-HU"/>
        </w:rPr>
        <w:t>eit</w:t>
      </w:r>
      <w:r w:rsidR="00A5548D" w:rsidRPr="007F1CB4">
        <w:rPr>
          <w:rFonts w:ascii="TimesNewRomanPSMT" w:eastAsiaTheme="minorHAnsi" w:hAnsi="TimesNewRomanPSMT" w:cs="TimesNewRomanPSMT"/>
          <w:lang w:val="hu-HU"/>
        </w:rPr>
        <w:t xml:space="preserve"> és </w:t>
      </w:r>
      <w:r w:rsidR="00A5548D" w:rsidRPr="004B4F70">
        <w:rPr>
          <w:rFonts w:eastAsiaTheme="minorHAnsi"/>
          <w:lang w:val="hu-HU"/>
        </w:rPr>
        <w:t>felelősség</w:t>
      </w:r>
      <w:r w:rsidR="00BE0F52" w:rsidRPr="004B4F70">
        <w:rPr>
          <w:rFonts w:eastAsiaTheme="minorHAnsi"/>
          <w:lang w:val="hu-HU"/>
        </w:rPr>
        <w:t>eit.</w:t>
      </w:r>
      <w:r w:rsidRPr="004B4F70">
        <w:rPr>
          <w:lang w:val="hu-HU"/>
        </w:rPr>
        <w:t xml:space="preserve"> </w:t>
      </w:r>
      <w:r w:rsidRPr="004B4F70">
        <w:rPr>
          <w:lang w:val="hu-HU"/>
        </w:rPr>
        <w:t>A szabályzat hatálya kiterjed a</w:t>
      </w:r>
      <w:r w:rsidRPr="004B4F70">
        <w:rPr>
          <w:lang w:val="hu-HU"/>
        </w:rPr>
        <w:t>z egyes</w:t>
      </w:r>
      <w:r w:rsidRPr="004B4F70">
        <w:rPr>
          <w:lang w:val="hu-HU"/>
        </w:rPr>
        <w:t xml:space="preserve"> vizsgálólaboratórium</w:t>
      </w:r>
      <w:r w:rsidRPr="004B4F70">
        <w:rPr>
          <w:lang w:val="hu-HU"/>
        </w:rPr>
        <w:t>ok</w:t>
      </w:r>
      <w:r w:rsidRPr="004B4F70">
        <w:rPr>
          <w:lang w:val="hu-HU"/>
        </w:rPr>
        <w:t>ra, valamint annak alkalmazottaira</w:t>
      </w:r>
      <w:r w:rsidRPr="004B4F70">
        <w:rPr>
          <w:lang w:val="hu-HU"/>
        </w:rPr>
        <w:t xml:space="preserve">. </w:t>
      </w:r>
    </w:p>
    <w:p w:rsidR="00BE0F52" w:rsidRDefault="00BE0F52" w:rsidP="00BE0F5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val="hu-HU"/>
        </w:rPr>
      </w:pPr>
    </w:p>
    <w:p w:rsidR="00BE0F52" w:rsidRPr="00DA05A1" w:rsidRDefault="00BE0F52" w:rsidP="00DA05A1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val="hu-HU"/>
        </w:rPr>
      </w:pPr>
      <w:r w:rsidRPr="00DA05A1">
        <w:rPr>
          <w:rFonts w:ascii="TimesNewRomanPSMT" w:eastAsiaTheme="minorHAnsi" w:hAnsi="TimesNewRomanPSMT" w:cs="TimesNewRomanPSMT"/>
          <w:lang w:val="hu-HU"/>
        </w:rPr>
        <w:t>Az NRRC-SKK kutatási infrastruktúrája a következő vizsgálati lehetőségeket foglalja magába:</w:t>
      </w:r>
    </w:p>
    <w:p w:rsidR="00DA05A1" w:rsidRDefault="00DA05A1" w:rsidP="007F1CB4">
      <w:pPr>
        <w:outlineLvl w:val="2"/>
        <w:rPr>
          <w:b/>
          <w:bCs/>
          <w:lang w:val="hu-HU" w:eastAsia="hu-HU"/>
        </w:rPr>
      </w:pPr>
    </w:p>
    <w:p w:rsidR="007F1CB4" w:rsidRPr="007F1CB4" w:rsidRDefault="007F1CB4" w:rsidP="007F1CB4">
      <w:pPr>
        <w:outlineLvl w:val="2"/>
        <w:rPr>
          <w:b/>
          <w:bCs/>
          <w:lang w:val="hu-HU" w:eastAsia="hu-HU"/>
        </w:rPr>
      </w:pPr>
      <w:r w:rsidRPr="007F1CB4">
        <w:rPr>
          <w:b/>
          <w:bCs/>
          <w:lang w:val="hu-HU" w:eastAsia="hu-HU"/>
        </w:rPr>
        <w:t>Anyagvizsgálatok</w:t>
      </w:r>
    </w:p>
    <w:p w:rsidR="007F1CB4" w:rsidRPr="007F1CB4" w:rsidRDefault="007F1CB4" w:rsidP="007F1CB4">
      <w:pPr>
        <w:numPr>
          <w:ilvl w:val="0"/>
          <w:numId w:val="3"/>
        </w:numPr>
        <w:ind w:left="675"/>
        <w:rPr>
          <w:lang w:val="hu-HU" w:eastAsia="hu-HU"/>
        </w:rPr>
      </w:pPr>
      <w:r>
        <w:rPr>
          <w:lang w:val="hu-HU" w:eastAsia="hu-HU"/>
        </w:rPr>
        <w:t>h</w:t>
      </w:r>
      <w:r w:rsidRPr="007F1CB4">
        <w:rPr>
          <w:lang w:val="hu-HU" w:eastAsia="hu-HU"/>
        </w:rPr>
        <w:t>engeres</w:t>
      </w:r>
      <w:r>
        <w:rPr>
          <w:lang w:val="hu-HU" w:eastAsia="hu-HU"/>
        </w:rPr>
        <w:t xml:space="preserve"> </w:t>
      </w:r>
      <w:r w:rsidRPr="007F1CB4">
        <w:rPr>
          <w:lang w:val="hu-HU" w:eastAsia="hu-HU"/>
        </w:rPr>
        <w:t>fa- és fűrészáru mintavétele, fizikai vizsgálata és fahibáinak megállapítása,</w:t>
      </w:r>
    </w:p>
    <w:p w:rsidR="007F1CB4" w:rsidRPr="007F1CB4" w:rsidRDefault="007F1CB4" w:rsidP="007F1CB4">
      <w:pPr>
        <w:numPr>
          <w:ilvl w:val="0"/>
          <w:numId w:val="3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fa alapanyagú lapok és lemezek mintavétele, fizikai és mechanikai tulajdonságainak vizsgálata</w:t>
      </w:r>
    </w:p>
    <w:p w:rsidR="007F1CB4" w:rsidRPr="007F1CB4" w:rsidRDefault="007F1CB4" w:rsidP="007F1CB4">
      <w:pPr>
        <w:numPr>
          <w:ilvl w:val="0"/>
          <w:numId w:val="3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felületbevonatok fizikai, mechanikai és esztétikai tulajdonságainak vizsgálata,</w:t>
      </w:r>
    </w:p>
    <w:p w:rsidR="007F1CB4" w:rsidRPr="007F1CB4" w:rsidRDefault="007F1CB4" w:rsidP="007F1CB4">
      <w:pPr>
        <w:numPr>
          <w:ilvl w:val="0"/>
          <w:numId w:val="3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fa alapanyagú lemezek formaldehid</w:t>
      </w:r>
      <w:r>
        <w:rPr>
          <w:lang w:val="hu-HU" w:eastAsia="hu-HU"/>
        </w:rPr>
        <w:t xml:space="preserve"> </w:t>
      </w:r>
      <w:r w:rsidRPr="007F1CB4">
        <w:rPr>
          <w:lang w:val="hu-HU" w:eastAsia="hu-HU"/>
        </w:rPr>
        <w:t>tartalmának és formaldehid kibocsátásának vizsgálata</w:t>
      </w:r>
    </w:p>
    <w:p w:rsidR="007F1CB4" w:rsidRPr="007F1CB4" w:rsidRDefault="007F1CB4" w:rsidP="007F1CB4">
      <w:pPr>
        <w:numPr>
          <w:ilvl w:val="0"/>
          <w:numId w:val="3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fa tartószerkezeti vizsgálatok: Egyensúlyi fanedvesség-tartalom meghatározása; alakváltozás- és feszültségmező mérése elektromos nyúlásmérési eljárással szerkezeten, vagy szerkezeti elemen</w:t>
      </w:r>
    </w:p>
    <w:p w:rsidR="007F1CB4" w:rsidRPr="007F1CB4" w:rsidRDefault="007F1CB4" w:rsidP="007F1CB4">
      <w:pPr>
        <w:numPr>
          <w:ilvl w:val="0"/>
          <w:numId w:val="3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faanyagok anatómiai jellemzőinek meghatározása, fafaj</w:t>
      </w:r>
      <w:r>
        <w:rPr>
          <w:lang w:val="hu-HU" w:eastAsia="hu-HU"/>
        </w:rPr>
        <w:t xml:space="preserve"> </w:t>
      </w:r>
      <w:r w:rsidRPr="007F1CB4">
        <w:rPr>
          <w:lang w:val="hu-HU" w:eastAsia="hu-HU"/>
        </w:rPr>
        <w:t>meghatározás</w:t>
      </w:r>
    </w:p>
    <w:p w:rsidR="007F1CB4" w:rsidRPr="007F1CB4" w:rsidRDefault="007F1CB4" w:rsidP="007F1CB4">
      <w:pPr>
        <w:numPr>
          <w:ilvl w:val="0"/>
          <w:numId w:val="3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faanyagok fizikai-mechanikai tulajdonságainak meghatározása</w:t>
      </w:r>
    </w:p>
    <w:p w:rsidR="007F1CB4" w:rsidRPr="007F1CB4" w:rsidRDefault="007F1CB4" w:rsidP="007F1CB4">
      <w:pPr>
        <w:numPr>
          <w:ilvl w:val="0"/>
          <w:numId w:val="3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vasúti talpfák, hídfák, faoszlop vizsgálata; vasúti rögzítő szerkezetek vizsgálata</w:t>
      </w:r>
    </w:p>
    <w:p w:rsidR="007F1CB4" w:rsidRPr="007F1CB4" w:rsidRDefault="007F1CB4" w:rsidP="007F1CB4">
      <w:pPr>
        <w:numPr>
          <w:ilvl w:val="0"/>
          <w:numId w:val="3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 xml:space="preserve">faanyagvédelmi vizsgálatok: természetes állapotú faanyag tartósságának, és az azt befolyásoló tényezők hatásainak vizsgálata; védőszer hatásosságának vizsgálata farontó gombákkal szemben; védőszer kimutatása a faanyagban; </w:t>
      </w:r>
      <w:proofErr w:type="spellStart"/>
      <w:r w:rsidRPr="007F1CB4">
        <w:rPr>
          <w:lang w:val="hu-HU" w:eastAsia="hu-HU"/>
        </w:rPr>
        <w:t>biocid</w:t>
      </w:r>
      <w:proofErr w:type="spellEnd"/>
      <w:r w:rsidRPr="007F1CB4">
        <w:rPr>
          <w:lang w:val="hu-HU" w:eastAsia="hu-HU"/>
        </w:rPr>
        <w:t xml:space="preserve"> anyagot nem tartalmazó készítmények farontó gombákkal szembeni hatásosságának vizsgálata</w:t>
      </w:r>
    </w:p>
    <w:p w:rsidR="007F1CB4" w:rsidRPr="007F1CB4" w:rsidRDefault="007F1CB4" w:rsidP="007F1CB4">
      <w:pPr>
        <w:numPr>
          <w:ilvl w:val="0"/>
          <w:numId w:val="3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faanyag osztályozás szilárdság szerint: szemrevételezéssel, műszeres méréssel</w:t>
      </w:r>
    </w:p>
    <w:p w:rsidR="007F1CB4" w:rsidRPr="007F1CB4" w:rsidRDefault="007F1CB4" w:rsidP="007F1CB4">
      <w:pPr>
        <w:outlineLvl w:val="2"/>
        <w:rPr>
          <w:b/>
          <w:bCs/>
          <w:lang w:val="hu-HU" w:eastAsia="hu-HU"/>
        </w:rPr>
      </w:pPr>
      <w:r w:rsidRPr="007F1CB4">
        <w:rPr>
          <w:b/>
          <w:bCs/>
          <w:lang w:val="hu-HU" w:eastAsia="hu-HU"/>
        </w:rPr>
        <w:t>Faipari termékvizsgálatok</w:t>
      </w:r>
    </w:p>
    <w:p w:rsidR="007F1CB4" w:rsidRPr="007F1CB4" w:rsidRDefault="007F1CB4" w:rsidP="007F1CB4">
      <w:pPr>
        <w:numPr>
          <w:ilvl w:val="0"/>
          <w:numId w:val="4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fa padlóburkolatok mintavétele, fizikai tulajdonságainak és anyaghibáinak vizsgálata</w:t>
      </w:r>
    </w:p>
    <w:p w:rsidR="007F1CB4" w:rsidRPr="007F1CB4" w:rsidRDefault="007F1CB4" w:rsidP="007F1CB4">
      <w:pPr>
        <w:numPr>
          <w:ilvl w:val="0"/>
          <w:numId w:val="4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rétegelt padlóburkoló anyagok fizikai-, mechanikai tulajdonságainak és felületi ellenállásának vizsgálata</w:t>
      </w:r>
    </w:p>
    <w:p w:rsidR="007F1CB4" w:rsidRPr="007F1CB4" w:rsidRDefault="007F1CB4" w:rsidP="007F1CB4">
      <w:pPr>
        <w:numPr>
          <w:ilvl w:val="0"/>
          <w:numId w:val="4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fa alapanyagú belső falburkoló elemek mintavétele, fizikai tulajdonságainak és anyaghibáinak vizsgálata</w:t>
      </w:r>
    </w:p>
    <w:p w:rsidR="007F1CB4" w:rsidRPr="007F1CB4" w:rsidRDefault="007F1CB4" w:rsidP="007F1CB4">
      <w:pPr>
        <w:numPr>
          <w:ilvl w:val="0"/>
          <w:numId w:val="4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épület-asztalosipari termékek mintavétele, fizikai tulajdonságainak és anyaghibáinak vizsgálata</w:t>
      </w:r>
    </w:p>
    <w:p w:rsidR="007F1CB4" w:rsidRPr="007F1CB4" w:rsidRDefault="007F1CB4" w:rsidP="007F1CB4">
      <w:pPr>
        <w:numPr>
          <w:ilvl w:val="0"/>
          <w:numId w:val="4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ablakok és belső ajtók mechanikai tulajdonságainak vizsgálata</w:t>
      </w:r>
    </w:p>
    <w:p w:rsidR="007F1CB4" w:rsidRPr="007F1CB4" w:rsidRDefault="007F1CB4" w:rsidP="007F1CB4">
      <w:pPr>
        <w:numPr>
          <w:ilvl w:val="0"/>
          <w:numId w:val="4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bútorok mintavétele, esztétikai, fizikai és mechanikai vizsgálata</w:t>
      </w:r>
    </w:p>
    <w:p w:rsidR="007F1CB4" w:rsidRPr="007F1CB4" w:rsidRDefault="007F1CB4" w:rsidP="007F1CB4">
      <w:pPr>
        <w:numPr>
          <w:ilvl w:val="0"/>
          <w:numId w:val="4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játszótéri eszközök vizsgálata</w:t>
      </w:r>
    </w:p>
    <w:p w:rsidR="007F1CB4" w:rsidRPr="007F1CB4" w:rsidRDefault="007F1CB4" w:rsidP="007F1CB4">
      <w:pPr>
        <w:outlineLvl w:val="2"/>
        <w:rPr>
          <w:b/>
          <w:bCs/>
          <w:lang w:val="hu-HU" w:eastAsia="hu-HU"/>
        </w:rPr>
      </w:pPr>
      <w:r w:rsidRPr="007F1CB4">
        <w:rPr>
          <w:b/>
          <w:bCs/>
          <w:lang w:val="hu-HU" w:eastAsia="hu-HU"/>
        </w:rPr>
        <w:lastRenderedPageBreak/>
        <w:t>Hőkezelőüzemek ellenőrzése</w:t>
      </w:r>
    </w:p>
    <w:p w:rsidR="007F1CB4" w:rsidRPr="007F1CB4" w:rsidRDefault="007F1CB4" w:rsidP="007F1CB4">
      <w:pPr>
        <w:numPr>
          <w:ilvl w:val="0"/>
          <w:numId w:val="5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FAO IPPC ISPM 15 szabvány szerinti hőkezelő</w:t>
      </w:r>
      <w:r>
        <w:rPr>
          <w:lang w:val="hu-HU" w:eastAsia="hu-HU"/>
        </w:rPr>
        <w:t xml:space="preserve"> </w:t>
      </w:r>
      <w:r w:rsidRPr="007F1CB4">
        <w:rPr>
          <w:lang w:val="hu-HU" w:eastAsia="hu-HU"/>
        </w:rPr>
        <w:t>berendezések akkreditálása.</w:t>
      </w:r>
    </w:p>
    <w:p w:rsidR="007F1CB4" w:rsidRDefault="007F1CB4" w:rsidP="007F1CB4">
      <w:pPr>
        <w:outlineLvl w:val="2"/>
        <w:rPr>
          <w:b/>
          <w:bCs/>
          <w:lang w:val="hu-HU" w:eastAsia="hu-HU"/>
        </w:rPr>
      </w:pPr>
    </w:p>
    <w:p w:rsidR="007F1CB4" w:rsidRPr="007F1CB4" w:rsidRDefault="007F1CB4" w:rsidP="007F1CB4">
      <w:pPr>
        <w:outlineLvl w:val="2"/>
        <w:rPr>
          <w:b/>
          <w:bCs/>
          <w:lang w:val="hu-HU" w:eastAsia="hu-HU"/>
        </w:rPr>
      </w:pPr>
      <w:r w:rsidRPr="007F1CB4">
        <w:rPr>
          <w:b/>
          <w:bCs/>
          <w:lang w:val="hu-HU" w:eastAsia="hu-HU"/>
        </w:rPr>
        <w:t>Építőanyagok</w:t>
      </w:r>
    </w:p>
    <w:p w:rsidR="007F1CB4" w:rsidRPr="007F1CB4" w:rsidRDefault="007F1CB4" w:rsidP="007F1CB4">
      <w:pPr>
        <w:numPr>
          <w:ilvl w:val="0"/>
          <w:numId w:val="6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tűzvédelmi megfelelősége</w:t>
      </w:r>
    </w:p>
    <w:p w:rsidR="007F1CB4" w:rsidRPr="007F1CB4" w:rsidRDefault="007F1CB4" w:rsidP="007F1CB4">
      <w:pPr>
        <w:numPr>
          <w:ilvl w:val="0"/>
          <w:numId w:val="6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építőanyagok (kivéve padlóburkoló anyagok) teljes körű tűzvédelmi vizsgálatai a vonatkozó szabványok szerint</w:t>
      </w:r>
    </w:p>
    <w:p w:rsidR="007F1CB4" w:rsidRPr="007F1CB4" w:rsidRDefault="007F1CB4" w:rsidP="007F1CB4">
      <w:pPr>
        <w:outlineLvl w:val="2"/>
        <w:rPr>
          <w:b/>
          <w:bCs/>
          <w:lang w:val="hu-HU" w:eastAsia="hu-HU"/>
        </w:rPr>
      </w:pPr>
      <w:r w:rsidRPr="007F1CB4">
        <w:rPr>
          <w:b/>
          <w:bCs/>
          <w:lang w:val="hu-HU" w:eastAsia="hu-HU"/>
        </w:rPr>
        <w:t>Munkabiztonsági vizsgálatok</w:t>
      </w:r>
    </w:p>
    <w:p w:rsidR="007F1CB4" w:rsidRPr="007F1CB4" w:rsidRDefault="007F1CB4" w:rsidP="007F1CB4">
      <w:pPr>
        <w:numPr>
          <w:ilvl w:val="0"/>
          <w:numId w:val="7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erdészeti és faipari munkaeszközök munkabiztonsági vizsgálata (nem akkreditált státusz)</w:t>
      </w:r>
    </w:p>
    <w:p w:rsidR="007F1CB4" w:rsidRPr="007F1CB4" w:rsidRDefault="007F1CB4" w:rsidP="007F1CB4">
      <w:pPr>
        <w:numPr>
          <w:ilvl w:val="0"/>
          <w:numId w:val="7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egész testre ható rezgésterhelés és helyi (kéz- kar) rezgésterhelés vizsgálata</w:t>
      </w:r>
    </w:p>
    <w:p w:rsidR="007F1CB4" w:rsidRPr="007F1CB4" w:rsidRDefault="007F1CB4" w:rsidP="007F1CB4">
      <w:pPr>
        <w:numPr>
          <w:ilvl w:val="0"/>
          <w:numId w:val="7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dolgozót érő zajterhelés vizsgálata</w:t>
      </w:r>
    </w:p>
    <w:p w:rsidR="007F1CB4" w:rsidRPr="007F1CB4" w:rsidRDefault="007F1CB4" w:rsidP="007F1CB4">
      <w:pPr>
        <w:numPr>
          <w:ilvl w:val="0"/>
          <w:numId w:val="7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a munkahelyi légteret szennyező fapor és egyéb faalapú porok mintavétele és vizsgálata</w:t>
      </w:r>
    </w:p>
    <w:p w:rsidR="007F1CB4" w:rsidRPr="007F1CB4" w:rsidRDefault="007F1CB4" w:rsidP="007F1CB4">
      <w:pPr>
        <w:outlineLvl w:val="2"/>
        <w:rPr>
          <w:b/>
          <w:bCs/>
          <w:lang w:val="hu-HU" w:eastAsia="hu-HU"/>
        </w:rPr>
      </w:pPr>
      <w:r w:rsidRPr="007F1CB4">
        <w:rPr>
          <w:b/>
          <w:bCs/>
          <w:lang w:val="hu-HU" w:eastAsia="hu-HU"/>
        </w:rPr>
        <w:t>Papírvizsgálatok</w:t>
      </w:r>
    </w:p>
    <w:p w:rsidR="007F1CB4" w:rsidRPr="007F1CB4" w:rsidRDefault="007F1CB4" w:rsidP="007F1CB4">
      <w:pPr>
        <w:numPr>
          <w:ilvl w:val="0"/>
          <w:numId w:val="8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 xml:space="preserve">rostos féltermék, papír és karton, hullámlemez, papíripari feldolgozott termékek vizsgálatai: szilárdság, optikai jellemzők, felületi jellemzők, </w:t>
      </w:r>
      <w:proofErr w:type="spellStart"/>
      <w:r w:rsidRPr="007F1CB4">
        <w:rPr>
          <w:lang w:val="hu-HU" w:eastAsia="hu-HU"/>
        </w:rPr>
        <w:t>barrier</w:t>
      </w:r>
      <w:proofErr w:type="spellEnd"/>
      <w:r w:rsidRPr="007F1CB4">
        <w:rPr>
          <w:lang w:val="hu-HU" w:eastAsia="hu-HU"/>
        </w:rPr>
        <w:t xml:space="preserve"> tulajdonságok, kémiai tulajdonságok</w:t>
      </w:r>
    </w:p>
    <w:p w:rsidR="007F1CB4" w:rsidRPr="007F1CB4" w:rsidRDefault="007F1CB4" w:rsidP="007F1CB4">
      <w:pPr>
        <w:outlineLvl w:val="2"/>
        <w:rPr>
          <w:b/>
          <w:bCs/>
          <w:lang w:val="hu-HU" w:eastAsia="hu-HU"/>
        </w:rPr>
      </w:pPr>
      <w:r w:rsidRPr="007F1CB4">
        <w:rPr>
          <w:b/>
          <w:bCs/>
          <w:lang w:val="hu-HU" w:eastAsia="hu-HU"/>
        </w:rPr>
        <w:t>Környezetvédelmi vizsgálatok</w:t>
      </w:r>
    </w:p>
    <w:p w:rsidR="007F1CB4" w:rsidRPr="007F1CB4" w:rsidRDefault="007F1CB4" w:rsidP="007F1CB4">
      <w:pPr>
        <w:numPr>
          <w:ilvl w:val="0"/>
          <w:numId w:val="9"/>
        </w:numPr>
        <w:ind w:left="675"/>
        <w:rPr>
          <w:lang w:val="hu-HU" w:eastAsia="hu-HU"/>
        </w:rPr>
      </w:pPr>
      <w:r w:rsidRPr="007F1CB4">
        <w:rPr>
          <w:lang w:val="hu-HU" w:eastAsia="hu-HU"/>
        </w:rPr>
        <w:t>környezetvédelmi vizsgálatok: rostos féltermék, hulladékpapír, papír és karton, hullámlemez, papíripari feldolgozott termékek, papíripari gyártási víz, papírgyári szennyvíz, papírgyári szennyvíziszap</w:t>
      </w:r>
    </w:p>
    <w:p w:rsidR="007F1CB4" w:rsidRPr="007F1CB4" w:rsidRDefault="007F1CB4" w:rsidP="007F1CB4">
      <w:pPr>
        <w:numPr>
          <w:ilvl w:val="0"/>
          <w:numId w:val="9"/>
        </w:numPr>
        <w:spacing w:before="100" w:beforeAutospacing="1" w:after="100" w:afterAutospacing="1"/>
        <w:ind w:left="675"/>
        <w:rPr>
          <w:lang w:val="hu-HU" w:eastAsia="hu-HU"/>
        </w:rPr>
      </w:pPr>
      <w:r w:rsidRPr="007F1CB4">
        <w:rPr>
          <w:lang w:val="hu-HU" w:eastAsia="hu-HU"/>
        </w:rPr>
        <w:t>ipari létesítmények környezeti zajkibocsátásának vizsgálata, hatásterület meghatározása</w:t>
      </w:r>
    </w:p>
    <w:p w:rsidR="007F1CB4" w:rsidRPr="007F1CB4" w:rsidRDefault="007F1CB4" w:rsidP="007F1CB4">
      <w:pPr>
        <w:numPr>
          <w:ilvl w:val="0"/>
          <w:numId w:val="9"/>
        </w:numPr>
        <w:spacing w:before="100" w:beforeAutospacing="1" w:after="100" w:afterAutospacing="1"/>
        <w:ind w:left="675"/>
        <w:rPr>
          <w:lang w:val="hu-HU" w:eastAsia="hu-HU"/>
        </w:rPr>
      </w:pPr>
      <w:r w:rsidRPr="007F1CB4">
        <w:rPr>
          <w:lang w:val="hu-HU" w:eastAsia="hu-HU"/>
        </w:rPr>
        <w:t>helyhez kötött légszennyező források szilárd (nem toxikus) légszennyező anyag emisszió értékének mérés (nem akkreditált státusz)</w:t>
      </w:r>
    </w:p>
    <w:p w:rsidR="007F1CB4" w:rsidRPr="007F1CB4" w:rsidRDefault="007F1CB4" w:rsidP="007F1CB4">
      <w:pPr>
        <w:numPr>
          <w:ilvl w:val="0"/>
          <w:numId w:val="9"/>
        </w:numPr>
        <w:spacing w:before="100" w:beforeAutospacing="1" w:after="100" w:afterAutospacing="1"/>
        <w:ind w:left="675"/>
        <w:rPr>
          <w:lang w:val="hu-HU" w:eastAsia="hu-HU"/>
        </w:rPr>
      </w:pPr>
      <w:r w:rsidRPr="007F1CB4">
        <w:rPr>
          <w:lang w:val="hu-HU" w:eastAsia="hu-HU"/>
        </w:rPr>
        <w:t>füstgáz-elemzés</w:t>
      </w:r>
    </w:p>
    <w:p w:rsidR="00BF20BD" w:rsidRPr="00DA05A1" w:rsidRDefault="00BF20BD" w:rsidP="00BF20BD">
      <w:pPr>
        <w:autoSpaceDE w:val="0"/>
        <w:autoSpaceDN w:val="0"/>
        <w:adjustRightInd w:val="0"/>
        <w:rPr>
          <w:rFonts w:eastAsiaTheme="minorHAnsi"/>
          <w:lang w:val="hu-HU"/>
        </w:rPr>
      </w:pPr>
      <w:r w:rsidRPr="00DA05A1">
        <w:rPr>
          <w:rFonts w:eastAsiaTheme="minorHAnsi"/>
          <w:lang w:val="hu-HU"/>
        </w:rPr>
        <w:t>A</w:t>
      </w:r>
      <w:r w:rsidRPr="00DA05A1">
        <w:rPr>
          <w:rFonts w:eastAsiaTheme="minorHAnsi"/>
          <w:lang w:val="hu-HU"/>
        </w:rPr>
        <w:t xml:space="preserve"> vizsgáló </w:t>
      </w:r>
      <w:r w:rsidRPr="00DA05A1">
        <w:rPr>
          <w:rFonts w:eastAsiaTheme="minorHAnsi"/>
          <w:lang w:val="hu-HU"/>
        </w:rPr>
        <w:t>labor</w:t>
      </w:r>
      <w:r w:rsidRPr="00DA05A1">
        <w:rPr>
          <w:rFonts w:eastAsiaTheme="minorHAnsi"/>
          <w:lang w:val="hu-HU"/>
        </w:rPr>
        <w:t>atóriumok</w:t>
      </w:r>
      <w:r w:rsidRPr="00DA05A1">
        <w:rPr>
          <w:rFonts w:eastAsiaTheme="minorHAnsi"/>
          <w:lang w:val="hu-HU"/>
        </w:rPr>
        <w:t xml:space="preserve">ban elhelyezett </w:t>
      </w:r>
      <w:r w:rsidRPr="00DA05A1">
        <w:rPr>
          <w:rFonts w:eastAsiaTheme="minorHAnsi"/>
          <w:lang w:val="hu-HU"/>
        </w:rPr>
        <w:t>mérőműszerek, vizsgáló berendezések, segédeszközök</w:t>
      </w:r>
      <w:r w:rsidRPr="00DA05A1">
        <w:rPr>
          <w:rFonts w:eastAsiaTheme="minorHAnsi"/>
          <w:lang w:val="hu-HU"/>
        </w:rPr>
        <w:t xml:space="preserve"> </w:t>
      </w:r>
      <w:r w:rsidRPr="00DA05A1">
        <w:rPr>
          <w:rFonts w:eastAsiaTheme="minorHAnsi"/>
          <w:lang w:val="hu-HU"/>
        </w:rPr>
        <w:t xml:space="preserve">és </w:t>
      </w:r>
      <w:r w:rsidRPr="00DA05A1">
        <w:rPr>
          <w:rFonts w:eastAsiaTheme="minorHAnsi"/>
          <w:lang w:val="hu-HU"/>
        </w:rPr>
        <w:t>egyéb berendezési tárgyak</w:t>
      </w:r>
      <w:r w:rsidRPr="00DA05A1">
        <w:rPr>
          <w:rFonts w:eastAsiaTheme="minorHAnsi"/>
          <w:lang w:val="hu-HU"/>
        </w:rPr>
        <w:t xml:space="preserve"> az egyes kari intézetek leltárában szerepelnek és az egyetem tulajdonát képezik. Az eszközöket oktatási, kutatási és szolgáltatásként végzett akkreditált vizsgálati célokra lehet felhasználni, azok </w:t>
      </w:r>
      <w:r w:rsidRPr="00DA05A1">
        <w:rPr>
          <w:rFonts w:eastAsiaTheme="minorHAnsi"/>
          <w:lang w:val="hu-HU"/>
        </w:rPr>
        <w:t xml:space="preserve">csak az </w:t>
      </w:r>
      <w:r w:rsidRPr="00DA05A1">
        <w:rPr>
          <w:rFonts w:eastAsiaTheme="minorHAnsi"/>
          <w:lang w:val="hu-HU"/>
        </w:rPr>
        <w:t>e</w:t>
      </w:r>
      <w:r w:rsidRPr="00DA05A1">
        <w:rPr>
          <w:rFonts w:eastAsiaTheme="minorHAnsi"/>
          <w:lang w:val="hu-HU"/>
        </w:rPr>
        <w:t>gyetemmel kapcsolatos tevékenységekre használhatók,</w:t>
      </w:r>
      <w:r w:rsidRPr="00DA05A1">
        <w:rPr>
          <w:rFonts w:eastAsiaTheme="minorHAnsi"/>
          <w:lang w:val="hu-HU"/>
        </w:rPr>
        <w:t xml:space="preserve"> </w:t>
      </w:r>
      <w:r w:rsidRPr="00DA05A1">
        <w:rPr>
          <w:rFonts w:eastAsiaTheme="minorHAnsi"/>
          <w:lang w:val="hu-HU"/>
        </w:rPr>
        <w:t xml:space="preserve">az </w:t>
      </w:r>
      <w:r w:rsidRPr="00DA05A1">
        <w:rPr>
          <w:rFonts w:eastAsiaTheme="minorHAnsi"/>
          <w:lang w:val="hu-HU"/>
        </w:rPr>
        <w:t>e</w:t>
      </w:r>
      <w:r w:rsidRPr="00DA05A1">
        <w:rPr>
          <w:rFonts w:eastAsiaTheme="minorHAnsi"/>
          <w:lang w:val="hu-HU"/>
        </w:rPr>
        <w:t>gyetem szándékainak megfelelően</w:t>
      </w:r>
      <w:r w:rsidRPr="00DA05A1">
        <w:rPr>
          <w:rFonts w:eastAsiaTheme="minorHAnsi"/>
          <w:lang w:val="hu-HU"/>
        </w:rPr>
        <w:t xml:space="preserve">. </w:t>
      </w:r>
    </w:p>
    <w:p w:rsidR="00BF20BD" w:rsidRPr="00DA05A1" w:rsidRDefault="00BF20BD" w:rsidP="00BF20BD">
      <w:pPr>
        <w:autoSpaceDE w:val="0"/>
        <w:autoSpaceDN w:val="0"/>
        <w:adjustRightInd w:val="0"/>
        <w:rPr>
          <w:rFonts w:eastAsiaTheme="minorHAnsi"/>
          <w:lang w:val="hu-HU"/>
        </w:rPr>
      </w:pPr>
    </w:p>
    <w:p w:rsidR="00BF20BD" w:rsidRPr="00DA05A1" w:rsidRDefault="00BF20BD" w:rsidP="00BF20BD">
      <w:pPr>
        <w:autoSpaceDE w:val="0"/>
        <w:autoSpaceDN w:val="0"/>
        <w:adjustRightInd w:val="0"/>
        <w:rPr>
          <w:rFonts w:eastAsiaTheme="minorHAnsi"/>
          <w:lang w:val="hu-HU"/>
        </w:rPr>
      </w:pPr>
      <w:r w:rsidRPr="00DA05A1">
        <w:rPr>
          <w:rFonts w:eastAsiaTheme="minorHAnsi"/>
          <w:lang w:val="hu-HU"/>
        </w:rPr>
        <w:t>A</w:t>
      </w:r>
      <w:r w:rsidRPr="00DA05A1">
        <w:rPr>
          <w:rFonts w:eastAsiaTheme="minorHAnsi"/>
          <w:lang w:val="hu-HU"/>
        </w:rPr>
        <w:t xml:space="preserve">z intézetek által kinevezett </w:t>
      </w:r>
      <w:r w:rsidRPr="00DA05A1">
        <w:rPr>
          <w:rFonts w:eastAsiaTheme="minorHAnsi"/>
          <w:lang w:val="hu-HU"/>
        </w:rPr>
        <w:t>laborfelelős</w:t>
      </w:r>
      <w:r w:rsidRPr="00DA05A1">
        <w:rPr>
          <w:rFonts w:eastAsiaTheme="minorHAnsi"/>
          <w:lang w:val="hu-HU"/>
        </w:rPr>
        <w:t>ök</w:t>
      </w:r>
      <w:r w:rsidRPr="00DA05A1">
        <w:rPr>
          <w:rFonts w:eastAsiaTheme="minorHAnsi"/>
          <w:lang w:val="hu-HU"/>
        </w:rPr>
        <w:t xml:space="preserve"> kötelessége, hogy rendszeresen ellenőrizz</w:t>
      </w:r>
      <w:r w:rsidRPr="00DA05A1">
        <w:rPr>
          <w:rFonts w:eastAsiaTheme="minorHAnsi"/>
          <w:lang w:val="hu-HU"/>
        </w:rPr>
        <w:t>ék</w:t>
      </w:r>
      <w:r w:rsidRPr="00DA05A1">
        <w:rPr>
          <w:rFonts w:eastAsiaTheme="minorHAnsi"/>
          <w:lang w:val="hu-HU"/>
        </w:rPr>
        <w:t xml:space="preserve"> a laboratórium</w:t>
      </w:r>
      <w:r w:rsidRPr="00DA05A1">
        <w:rPr>
          <w:rFonts w:eastAsiaTheme="minorHAnsi"/>
          <w:lang w:val="hu-HU"/>
        </w:rPr>
        <w:t xml:space="preserve">ok </w:t>
      </w:r>
      <w:r w:rsidRPr="00DA05A1">
        <w:rPr>
          <w:rFonts w:eastAsiaTheme="minorHAnsi"/>
          <w:lang w:val="hu-HU"/>
        </w:rPr>
        <w:t>állapotát, biztosíts</w:t>
      </w:r>
      <w:r w:rsidRPr="00DA05A1">
        <w:rPr>
          <w:rFonts w:eastAsiaTheme="minorHAnsi"/>
          <w:lang w:val="hu-HU"/>
        </w:rPr>
        <w:t>ák</w:t>
      </w:r>
      <w:r w:rsidRPr="00DA05A1">
        <w:rPr>
          <w:rFonts w:eastAsiaTheme="minorHAnsi"/>
          <w:lang w:val="hu-HU"/>
        </w:rPr>
        <w:t xml:space="preserve"> az ott található eszközök meglétét, működését, kölcsönzésének</w:t>
      </w:r>
      <w:r w:rsidRPr="00DA05A1">
        <w:rPr>
          <w:rFonts w:eastAsiaTheme="minorHAnsi"/>
          <w:lang w:val="hu-HU"/>
        </w:rPr>
        <w:t xml:space="preserve"> </w:t>
      </w:r>
      <w:r w:rsidRPr="00DA05A1">
        <w:rPr>
          <w:rFonts w:eastAsiaTheme="minorHAnsi"/>
          <w:lang w:val="hu-HU"/>
        </w:rPr>
        <w:t>felügyeletét és a laboratóriumi szabályok betartásához szükséges feltételeket.</w:t>
      </w:r>
    </w:p>
    <w:p w:rsidR="00BF20BD" w:rsidRPr="00DA05A1" w:rsidRDefault="00BF20BD" w:rsidP="00BF20BD">
      <w:pPr>
        <w:autoSpaceDE w:val="0"/>
        <w:autoSpaceDN w:val="0"/>
        <w:adjustRightInd w:val="0"/>
        <w:rPr>
          <w:rFonts w:eastAsiaTheme="minorHAnsi"/>
          <w:lang w:val="hu-HU"/>
        </w:rPr>
      </w:pPr>
    </w:p>
    <w:p w:rsidR="00461E7C" w:rsidRPr="00DA05A1" w:rsidRDefault="00BF20BD" w:rsidP="00BF20B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  <w:lang w:val="hu-HU"/>
        </w:rPr>
      </w:pPr>
      <w:r w:rsidRPr="00DA05A1">
        <w:rPr>
          <w:sz w:val="24"/>
          <w:szCs w:val="24"/>
          <w:lang w:val="hu-HU"/>
        </w:rPr>
        <w:t xml:space="preserve">Az akkreditált vizsgálatokat végző </w:t>
      </w:r>
      <w:r w:rsidR="00461E7C" w:rsidRPr="00DA05A1">
        <w:rPr>
          <w:sz w:val="24"/>
          <w:szCs w:val="24"/>
          <w:lang w:val="hu-HU"/>
        </w:rPr>
        <w:t>laborokban, akkreditált eszközökön - az akkreditált státuszból fakadóan - csak az akkreditált személyzet dolgozhat, a</w:t>
      </w:r>
      <w:r w:rsidR="004A110F">
        <w:rPr>
          <w:sz w:val="24"/>
          <w:szCs w:val="24"/>
          <w:lang w:val="hu-HU"/>
        </w:rPr>
        <w:t>z NRRC-SKK</w:t>
      </w:r>
      <w:r w:rsidR="00461E7C" w:rsidRPr="00DA05A1">
        <w:rPr>
          <w:sz w:val="24"/>
          <w:szCs w:val="24"/>
          <w:lang w:val="hu-HU"/>
        </w:rPr>
        <w:t xml:space="preserve"> </w:t>
      </w:r>
      <w:r w:rsidRPr="00DA05A1">
        <w:rPr>
          <w:sz w:val="24"/>
          <w:szCs w:val="24"/>
          <w:lang w:val="hu-HU"/>
        </w:rPr>
        <w:t>Központi Vizsgáló Laboratórium</w:t>
      </w:r>
      <w:r w:rsidR="00461E7C" w:rsidRPr="00DA05A1">
        <w:rPr>
          <w:sz w:val="24"/>
          <w:szCs w:val="24"/>
          <w:lang w:val="hu-HU"/>
        </w:rPr>
        <w:t xml:space="preserve"> Minőségirányítási Kézikönyvében foglaltak szerint.</w:t>
      </w:r>
      <w:r w:rsidR="00DA05A1" w:rsidRPr="00DA05A1">
        <w:rPr>
          <w:sz w:val="24"/>
          <w:szCs w:val="24"/>
          <w:lang w:val="hu-HU"/>
        </w:rPr>
        <w:t xml:space="preserve"> </w:t>
      </w:r>
      <w:r w:rsidR="00461E7C" w:rsidRPr="00DA05A1">
        <w:rPr>
          <w:sz w:val="24"/>
          <w:szCs w:val="24"/>
          <w:lang w:val="hu-HU"/>
        </w:rPr>
        <w:t xml:space="preserve">Ily módon, </w:t>
      </w:r>
      <w:r w:rsidR="00DA05A1" w:rsidRPr="00DA05A1">
        <w:rPr>
          <w:sz w:val="24"/>
          <w:szCs w:val="24"/>
          <w:lang w:val="hu-HU"/>
        </w:rPr>
        <w:t xml:space="preserve">a </w:t>
      </w:r>
      <w:r w:rsidR="00461E7C" w:rsidRPr="00DA05A1">
        <w:rPr>
          <w:sz w:val="24"/>
          <w:szCs w:val="24"/>
          <w:lang w:val="hu-HU"/>
        </w:rPr>
        <w:t>nem akkreditálási státusz alá eső vizsgálatokat is csak az akkreditált személyzet végezhet</w:t>
      </w:r>
      <w:r w:rsidR="00DA05A1" w:rsidRPr="00DA05A1">
        <w:rPr>
          <w:sz w:val="24"/>
          <w:szCs w:val="24"/>
          <w:lang w:val="hu-HU"/>
        </w:rPr>
        <w:t>i</w:t>
      </w:r>
      <w:r w:rsidR="00461E7C" w:rsidRPr="00DA05A1">
        <w:rPr>
          <w:sz w:val="24"/>
          <w:szCs w:val="24"/>
          <w:lang w:val="hu-HU"/>
        </w:rPr>
        <w:t>. A nem akkreditált vizsgálatok kivitelezésének módját, díjazását az adott akkreditált laboratórium szabályozza.</w:t>
      </w:r>
    </w:p>
    <w:p w:rsidR="00461E7C" w:rsidRPr="00DA05A1" w:rsidRDefault="00461E7C" w:rsidP="00BF20B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  <w:lang w:val="hu-HU"/>
        </w:rPr>
      </w:pPr>
      <w:r w:rsidRPr="00DA05A1">
        <w:rPr>
          <w:sz w:val="24"/>
          <w:szCs w:val="24"/>
          <w:lang w:val="hu-HU"/>
        </w:rPr>
        <w:t>A laborhasználat prioritása:</w:t>
      </w:r>
    </w:p>
    <w:p w:rsidR="00461E7C" w:rsidRPr="00DA05A1" w:rsidRDefault="00461E7C" w:rsidP="00461E7C">
      <w:pPr>
        <w:pStyle w:val="Norml1"/>
        <w:numPr>
          <w:ilvl w:val="3"/>
          <w:numId w:val="2"/>
        </w:numPr>
        <w:tabs>
          <w:tab w:val="clear" w:pos="240"/>
          <w:tab w:val="left" w:pos="708"/>
          <w:tab w:val="num" w:pos="13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20" w:hanging="240"/>
        <w:jc w:val="both"/>
        <w:rPr>
          <w:sz w:val="24"/>
          <w:szCs w:val="24"/>
          <w:lang w:val="hu-HU"/>
        </w:rPr>
      </w:pPr>
      <w:r w:rsidRPr="00DA05A1">
        <w:rPr>
          <w:sz w:val="24"/>
          <w:szCs w:val="24"/>
          <w:lang w:val="hu-HU"/>
        </w:rPr>
        <w:t>akkreditált vizsgálatok,</w:t>
      </w:r>
    </w:p>
    <w:p w:rsidR="00461E7C" w:rsidRPr="00DA05A1" w:rsidRDefault="00461E7C" w:rsidP="00461E7C">
      <w:pPr>
        <w:pStyle w:val="Norml1"/>
        <w:numPr>
          <w:ilvl w:val="3"/>
          <w:numId w:val="2"/>
        </w:numPr>
        <w:tabs>
          <w:tab w:val="clear" w:pos="240"/>
          <w:tab w:val="left" w:pos="708"/>
          <w:tab w:val="num" w:pos="13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20" w:hanging="240"/>
        <w:jc w:val="both"/>
        <w:rPr>
          <w:sz w:val="24"/>
          <w:szCs w:val="24"/>
          <w:lang w:val="hu-HU"/>
        </w:rPr>
      </w:pPr>
      <w:r w:rsidRPr="00DA05A1">
        <w:rPr>
          <w:sz w:val="24"/>
          <w:szCs w:val="24"/>
          <w:lang w:val="hu-HU"/>
        </w:rPr>
        <w:lastRenderedPageBreak/>
        <w:t>K+F+I megbízások teljesítése,</w:t>
      </w:r>
    </w:p>
    <w:p w:rsidR="00461E7C" w:rsidRPr="00DA05A1" w:rsidRDefault="00461E7C" w:rsidP="00461E7C">
      <w:pPr>
        <w:pStyle w:val="Norml1"/>
        <w:numPr>
          <w:ilvl w:val="3"/>
          <w:numId w:val="2"/>
        </w:numPr>
        <w:tabs>
          <w:tab w:val="clear" w:pos="240"/>
          <w:tab w:val="left" w:pos="708"/>
          <w:tab w:val="num" w:pos="13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20" w:hanging="240"/>
        <w:jc w:val="both"/>
        <w:rPr>
          <w:sz w:val="24"/>
          <w:szCs w:val="24"/>
          <w:lang w:val="hu-HU"/>
        </w:rPr>
      </w:pPr>
      <w:r w:rsidRPr="00DA05A1">
        <w:rPr>
          <w:sz w:val="24"/>
          <w:szCs w:val="24"/>
          <w:lang w:val="hu-HU"/>
        </w:rPr>
        <w:t>PhD kutatások,</w:t>
      </w:r>
    </w:p>
    <w:p w:rsidR="00461E7C" w:rsidRPr="00DA05A1" w:rsidRDefault="00461E7C" w:rsidP="00461E7C">
      <w:pPr>
        <w:pStyle w:val="Norml1"/>
        <w:numPr>
          <w:ilvl w:val="3"/>
          <w:numId w:val="2"/>
        </w:numPr>
        <w:tabs>
          <w:tab w:val="clear" w:pos="240"/>
          <w:tab w:val="left" w:pos="708"/>
          <w:tab w:val="num" w:pos="13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20" w:hanging="240"/>
        <w:jc w:val="both"/>
        <w:rPr>
          <w:sz w:val="24"/>
          <w:szCs w:val="24"/>
          <w:lang w:val="hu-HU"/>
        </w:rPr>
      </w:pPr>
      <w:r w:rsidRPr="00DA05A1">
        <w:rPr>
          <w:sz w:val="24"/>
          <w:szCs w:val="24"/>
          <w:lang w:val="hu-HU"/>
        </w:rPr>
        <w:t>hallgatói kutatások.</w:t>
      </w:r>
    </w:p>
    <w:p w:rsidR="00461E7C" w:rsidRPr="00DA05A1" w:rsidRDefault="00461E7C">
      <w:pPr>
        <w:rPr>
          <w:lang w:val="hu-HU"/>
        </w:rPr>
      </w:pPr>
    </w:p>
    <w:p w:rsidR="00DA05A1" w:rsidRPr="00DA05A1" w:rsidRDefault="00DA05A1" w:rsidP="00DA05A1">
      <w:pPr>
        <w:autoSpaceDE w:val="0"/>
        <w:autoSpaceDN w:val="0"/>
        <w:adjustRightInd w:val="0"/>
        <w:rPr>
          <w:lang w:val="hu-HU"/>
        </w:rPr>
      </w:pPr>
      <w:r w:rsidRPr="00DA05A1">
        <w:rPr>
          <w:rFonts w:eastAsiaTheme="minorHAnsi"/>
          <w:lang w:val="hu-HU"/>
        </w:rPr>
        <w:t xml:space="preserve">Minden személy köteles a laborban elhelyezett eszközöket rendeltetésszerűen használni, az eszközök tisztaságára, épségére, használhatóságának megóvására maximálisan törekednie. </w:t>
      </w:r>
    </w:p>
    <w:p w:rsidR="00DA05A1" w:rsidRPr="007F1CB4" w:rsidRDefault="00DA05A1">
      <w:pPr>
        <w:rPr>
          <w:lang w:val="hu-HU"/>
        </w:rPr>
      </w:pPr>
    </w:p>
    <w:p w:rsidR="00461E7C" w:rsidRPr="00DA05A1" w:rsidRDefault="00461E7C" w:rsidP="00DA05A1">
      <w:pPr>
        <w:pStyle w:val="Norml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  <w:lang w:val="hu-HU"/>
        </w:rPr>
      </w:pPr>
      <w:r w:rsidRPr="00DA05A1">
        <w:rPr>
          <w:sz w:val="24"/>
          <w:szCs w:val="24"/>
          <w:lang w:val="hu-HU"/>
        </w:rPr>
        <w:t>A munkát végző személy köteles a Laborhasználati naplót, Eszközhasználati naplót megfelelően kitölteni.</w:t>
      </w:r>
    </w:p>
    <w:p w:rsidR="00461E7C" w:rsidRPr="00DA05A1" w:rsidRDefault="00461E7C" w:rsidP="00DA05A1">
      <w:pPr>
        <w:pStyle w:val="Norml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  <w:lang w:val="hu-HU"/>
        </w:rPr>
      </w:pPr>
      <w:r w:rsidRPr="00DA05A1">
        <w:rPr>
          <w:sz w:val="24"/>
          <w:szCs w:val="24"/>
          <w:lang w:val="hu-HU"/>
        </w:rPr>
        <w:t>Önálló munkavégzés esetén a munkát végző személy vállal anyagi felelősséget az eszközökben, laboratóriumban a gondatlanságból vagy szándékosan okozott károkért.</w:t>
      </w:r>
    </w:p>
    <w:p w:rsidR="00DA05A1" w:rsidRPr="00DA05A1" w:rsidRDefault="00DA05A1" w:rsidP="00DA05A1">
      <w:pPr>
        <w:pStyle w:val="Norml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  <w:lang w:val="hu-HU"/>
        </w:rPr>
      </w:pPr>
    </w:p>
    <w:p w:rsidR="00461E7C" w:rsidRPr="00DA05A1" w:rsidRDefault="00461E7C" w:rsidP="00DA05A1">
      <w:pPr>
        <w:pStyle w:val="Norml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  <w:lang w:val="hu-HU"/>
        </w:rPr>
      </w:pPr>
      <w:r w:rsidRPr="00DA05A1">
        <w:rPr>
          <w:sz w:val="24"/>
          <w:szCs w:val="24"/>
          <w:lang w:val="hu-HU"/>
        </w:rPr>
        <w:t>A laboratórium használata után köteles a munkát végző minden eszközt és a laboratóriumot áramtalanítani kell, levegő, víz, és gázcsapokat el kell zárni, kivétel a folyamatban lévő mérések esetén. Ezekről a laborfelelőst tájékoztatni kell, a berendezéseken ezt alkalmas módon jelezni kell.</w:t>
      </w:r>
    </w:p>
    <w:p w:rsidR="00DA05A1" w:rsidRPr="00DA05A1" w:rsidRDefault="00DA05A1" w:rsidP="00DA05A1">
      <w:pPr>
        <w:pStyle w:val="Norml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  <w:lang w:val="hu-HU"/>
        </w:rPr>
      </w:pPr>
    </w:p>
    <w:p w:rsidR="00461E7C" w:rsidRPr="00DA05A1" w:rsidRDefault="00461E7C" w:rsidP="00DA05A1">
      <w:pPr>
        <w:pStyle w:val="Norml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  <w:lang w:val="hu-HU"/>
        </w:rPr>
      </w:pPr>
      <w:r w:rsidRPr="00DA05A1">
        <w:rPr>
          <w:sz w:val="24"/>
          <w:szCs w:val="24"/>
          <w:lang w:val="hu-HU"/>
        </w:rPr>
        <w:t>A laboratórium használata után köteles a munkát végző mindent a helyére tenni, és</w:t>
      </w:r>
      <w:r w:rsidR="00DA05A1" w:rsidRPr="00DA05A1">
        <w:rPr>
          <w:sz w:val="24"/>
          <w:szCs w:val="24"/>
          <w:lang w:val="hu-HU"/>
        </w:rPr>
        <w:t xml:space="preserve"> rendezett körülményeket hagyni, a</w:t>
      </w:r>
      <w:r w:rsidRPr="00DA05A1">
        <w:rPr>
          <w:sz w:val="24"/>
          <w:szCs w:val="24"/>
          <w:lang w:val="hu-HU"/>
        </w:rPr>
        <w:t>mennyiben a munka során valamely fogyó eszköz készlete kiürül, a megfelelő naplóban fel kell jegyezni és a laborfelelőst tájékoztatni kell.</w:t>
      </w:r>
    </w:p>
    <w:p w:rsidR="00DA05A1" w:rsidRPr="00DA05A1" w:rsidRDefault="00DA05A1" w:rsidP="00461E7C">
      <w:pPr>
        <w:rPr>
          <w:lang w:val="hu-HU"/>
        </w:rPr>
      </w:pPr>
    </w:p>
    <w:p w:rsidR="006874EA" w:rsidRDefault="00461E7C" w:rsidP="00461E7C">
      <w:pPr>
        <w:rPr>
          <w:lang w:val="hu-HU"/>
        </w:rPr>
      </w:pPr>
      <w:r w:rsidRPr="00DA05A1">
        <w:rPr>
          <w:lang w:val="hu-HU"/>
        </w:rPr>
        <w:t>Amennyiben valamely eszköz megsérül, a megfelelő naplóban fel kell jegyezni és a laborfelelőst tájékoztatni kell</w:t>
      </w:r>
      <w:r w:rsidR="00DA05A1">
        <w:rPr>
          <w:lang w:val="hu-HU"/>
        </w:rPr>
        <w:t>.</w:t>
      </w:r>
    </w:p>
    <w:p w:rsidR="00DA05A1" w:rsidRDefault="00DA05A1" w:rsidP="00461E7C">
      <w:pPr>
        <w:rPr>
          <w:lang w:val="hu-HU"/>
        </w:rPr>
      </w:pPr>
    </w:p>
    <w:p w:rsidR="00E80878" w:rsidRDefault="004A110F" w:rsidP="004159F5">
      <w:pPr>
        <w:autoSpaceDE w:val="0"/>
        <w:autoSpaceDN w:val="0"/>
        <w:adjustRightInd w:val="0"/>
        <w:rPr>
          <w:rFonts w:eastAsiaTheme="minorHAnsi"/>
          <w:szCs w:val="22"/>
          <w:lang w:val="hu-HU"/>
        </w:rPr>
      </w:pPr>
      <w:r w:rsidRPr="003011A3">
        <w:rPr>
          <w:rFonts w:eastAsiaTheme="minorHAnsi"/>
          <w:szCs w:val="22"/>
          <w:lang w:val="hu-HU"/>
        </w:rPr>
        <w:t>A</w:t>
      </w:r>
      <w:r w:rsidRPr="003011A3">
        <w:rPr>
          <w:rFonts w:eastAsiaTheme="minorHAnsi"/>
          <w:szCs w:val="22"/>
          <w:lang w:val="hu-HU"/>
        </w:rPr>
        <w:t xml:space="preserve">z NRRC-SKK </w:t>
      </w:r>
      <w:r w:rsidR="00E80878" w:rsidRPr="003011A3">
        <w:rPr>
          <w:lang w:val="hu-HU"/>
        </w:rPr>
        <w:t>nyitott laboratórium</w:t>
      </w:r>
      <w:r w:rsidR="00E80878" w:rsidRPr="003011A3">
        <w:rPr>
          <w:lang w:val="hu-HU"/>
        </w:rPr>
        <w:t>,</w:t>
      </w:r>
      <w:r w:rsidR="00E80878" w:rsidRPr="003011A3">
        <w:rPr>
          <w:rFonts w:eastAsiaTheme="minorHAnsi"/>
          <w:szCs w:val="22"/>
          <w:lang w:val="hu-HU"/>
        </w:rPr>
        <w:t xml:space="preserve"> </w:t>
      </w:r>
      <w:r w:rsidRPr="003011A3">
        <w:rPr>
          <w:rFonts w:eastAsiaTheme="minorHAnsi"/>
          <w:szCs w:val="22"/>
          <w:lang w:val="hu-HU"/>
        </w:rPr>
        <w:t>igénybevétele biztosított bármely hazai vagy külföldi felhasználó számára</w:t>
      </w:r>
      <w:r w:rsidR="003011A3" w:rsidRPr="003011A3">
        <w:rPr>
          <w:rFonts w:eastAsiaTheme="minorHAnsi"/>
          <w:szCs w:val="22"/>
          <w:lang w:val="hu-HU"/>
        </w:rPr>
        <w:t xml:space="preserve">, továbbá </w:t>
      </w:r>
      <w:r w:rsidR="003011A3" w:rsidRPr="003011A3">
        <w:rPr>
          <w:lang w:val="hu-HU"/>
        </w:rPr>
        <w:t>megrendelés alapján is végez kutatási tevékenységet vagy mérési szolgáltatást</w:t>
      </w:r>
      <w:r w:rsidRPr="004A110F">
        <w:rPr>
          <w:rFonts w:eastAsiaTheme="minorHAnsi"/>
          <w:szCs w:val="22"/>
          <w:lang w:val="hu-HU"/>
        </w:rPr>
        <w:t xml:space="preserve">. </w:t>
      </w:r>
    </w:p>
    <w:p w:rsidR="00E80878" w:rsidRDefault="00E80878" w:rsidP="004159F5">
      <w:pPr>
        <w:autoSpaceDE w:val="0"/>
        <w:autoSpaceDN w:val="0"/>
        <w:adjustRightInd w:val="0"/>
        <w:rPr>
          <w:rFonts w:eastAsiaTheme="minorHAnsi"/>
          <w:szCs w:val="22"/>
          <w:lang w:val="hu-HU"/>
        </w:rPr>
      </w:pPr>
    </w:p>
    <w:p w:rsidR="00D260CC" w:rsidRDefault="00D260CC" w:rsidP="00D260CC">
      <w:pPr>
        <w:pStyle w:val="Default"/>
      </w:pPr>
    </w:p>
    <w:p w:rsidR="00D260CC" w:rsidRDefault="00D260CC" w:rsidP="00D260CC">
      <w:pPr>
        <w:autoSpaceDE w:val="0"/>
        <w:autoSpaceDN w:val="0"/>
        <w:adjustRightInd w:val="0"/>
        <w:rPr>
          <w:rFonts w:eastAsiaTheme="minorHAnsi"/>
          <w:szCs w:val="22"/>
          <w:lang w:val="hu-HU"/>
        </w:rPr>
      </w:pPr>
      <w:proofErr w:type="gramStart"/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szolgáltatásokat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mindenki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egyenlő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eséllyel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igénybe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veheti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csak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szolgáltatás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árképzésében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jelentkez</w:t>
      </w:r>
      <w:r>
        <w:rPr>
          <w:sz w:val="22"/>
          <w:szCs w:val="22"/>
        </w:rPr>
        <w:t>het</w:t>
      </w:r>
      <w:r>
        <w:rPr>
          <w:sz w:val="22"/>
          <w:szCs w:val="22"/>
        </w:rPr>
        <w:t>nek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különbségek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z w:val="22"/>
          <w:szCs w:val="22"/>
        </w:rPr>
        <w:t>z</w:t>
      </w:r>
      <w:proofErr w:type="spellEnd"/>
      <w:r>
        <w:rPr>
          <w:sz w:val="22"/>
          <w:szCs w:val="22"/>
        </w:rPr>
        <w:t xml:space="preserve"> NRRC-SKK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társaság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kutatóinak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térítésmentesen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biztosítja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kutatási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infrastruktúrák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igénybevételét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míg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külső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megrendelők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piaci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árképzés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alapján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vehetik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igénybe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</w:t>
      </w:r>
      <w:r w:rsidR="001118C6">
        <w:rPr>
          <w:sz w:val="22"/>
          <w:szCs w:val="22"/>
        </w:rPr>
        <w:t>z</w:t>
      </w:r>
      <w:proofErr w:type="spellEnd"/>
      <w:proofErr w:type="gramEnd"/>
      <w:r>
        <w:rPr>
          <w:sz w:val="22"/>
          <w:szCs w:val="22"/>
        </w:rPr>
        <w:t xml:space="preserve"> </w:t>
      </w:r>
      <w:r w:rsidR="001118C6">
        <w:rPr>
          <w:sz w:val="22"/>
          <w:szCs w:val="22"/>
        </w:rPr>
        <w:t>NRRC-SKK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szolgáltatatásait</w:t>
      </w:r>
      <w:proofErr w:type="spellEnd"/>
      <w:r>
        <w:rPr>
          <w:sz w:val="22"/>
          <w:szCs w:val="22"/>
        </w:rPr>
        <w:t xml:space="preserve">. A </w:t>
      </w:r>
      <w:proofErr w:type="spellStart"/>
      <w:r w:rsidR="001118C6">
        <w:rPr>
          <w:sz w:val="22"/>
          <w:szCs w:val="22"/>
        </w:rPr>
        <w:t>kutató</w:t>
      </w:r>
      <w:proofErr w:type="spellEnd"/>
      <w:r w:rsidR="001118C6">
        <w:rPr>
          <w:sz w:val="22"/>
          <w:szCs w:val="22"/>
        </w:rPr>
        <w:t xml:space="preserve"> </w:t>
      </w:r>
      <w:proofErr w:type="spellStart"/>
      <w:r w:rsidR="001118C6">
        <w:rPr>
          <w:sz w:val="22"/>
          <w:szCs w:val="22"/>
        </w:rPr>
        <w:t>központ</w:t>
      </w:r>
      <w:proofErr w:type="spellEnd"/>
      <w:r w:rsidR="001118C6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az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együttműködési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megállapodást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kötött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partnerei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számára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egyedi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megegyezés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alapján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biztosítja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vizsgálatokat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együttműködés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módjától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jellegétől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függően</w:t>
      </w:r>
      <w:proofErr w:type="spellEnd"/>
      <w:r w:rsidR="001118C6">
        <w:rPr>
          <w:sz w:val="22"/>
          <w:szCs w:val="22"/>
        </w:rPr>
        <w:t>.</w:t>
      </w:r>
    </w:p>
    <w:p w:rsidR="00D260CC" w:rsidRDefault="00D260CC" w:rsidP="004159F5">
      <w:pPr>
        <w:autoSpaceDE w:val="0"/>
        <w:autoSpaceDN w:val="0"/>
        <w:adjustRightInd w:val="0"/>
        <w:rPr>
          <w:rFonts w:eastAsiaTheme="minorHAnsi"/>
          <w:szCs w:val="22"/>
          <w:lang w:val="hu-HU"/>
        </w:rPr>
      </w:pPr>
    </w:p>
    <w:p w:rsidR="00DA05A1" w:rsidRPr="004A110F" w:rsidRDefault="004A110F" w:rsidP="004159F5">
      <w:pPr>
        <w:autoSpaceDE w:val="0"/>
        <w:autoSpaceDN w:val="0"/>
        <w:adjustRightInd w:val="0"/>
        <w:rPr>
          <w:sz w:val="28"/>
          <w:lang w:val="hu-HU"/>
        </w:rPr>
      </w:pPr>
      <w:r w:rsidRPr="004A110F">
        <w:rPr>
          <w:rFonts w:eastAsiaTheme="minorHAnsi"/>
          <w:szCs w:val="22"/>
          <w:lang w:val="hu-HU"/>
        </w:rPr>
        <w:t>A</w:t>
      </w:r>
      <w:r>
        <w:rPr>
          <w:rFonts w:eastAsiaTheme="minorHAnsi"/>
          <w:szCs w:val="22"/>
          <w:lang w:val="hu-HU"/>
        </w:rPr>
        <w:t xml:space="preserve"> </w:t>
      </w:r>
      <w:r w:rsidRPr="004A110F">
        <w:rPr>
          <w:rFonts w:eastAsiaTheme="minorHAnsi"/>
          <w:szCs w:val="22"/>
          <w:lang w:val="hu-HU"/>
        </w:rPr>
        <w:t>vizsgálatokat kérelmező külső természetes személlyel vagy jogi személy képviselőjével</w:t>
      </w:r>
      <w:r>
        <w:rPr>
          <w:rFonts w:eastAsiaTheme="minorHAnsi"/>
          <w:szCs w:val="22"/>
          <w:lang w:val="hu-HU"/>
        </w:rPr>
        <w:t xml:space="preserve"> </w:t>
      </w:r>
      <w:r w:rsidRPr="004A110F">
        <w:rPr>
          <w:rFonts w:eastAsiaTheme="minorHAnsi"/>
          <w:szCs w:val="22"/>
          <w:lang w:val="hu-HU"/>
        </w:rPr>
        <w:t>konzultálva a</w:t>
      </w:r>
      <w:r>
        <w:rPr>
          <w:rFonts w:eastAsiaTheme="minorHAnsi"/>
          <w:szCs w:val="22"/>
          <w:lang w:val="hu-HU"/>
        </w:rPr>
        <w:t xml:space="preserve">z </w:t>
      </w:r>
      <w:r>
        <w:rPr>
          <w:rFonts w:eastAsiaTheme="minorHAnsi"/>
          <w:szCs w:val="22"/>
          <w:lang w:val="hu-HU"/>
        </w:rPr>
        <w:t>NRRC-SKK</w:t>
      </w:r>
      <w:r w:rsidRPr="004A110F">
        <w:rPr>
          <w:rFonts w:eastAsiaTheme="minorHAnsi"/>
          <w:szCs w:val="22"/>
          <w:lang w:val="hu-HU"/>
        </w:rPr>
        <w:t xml:space="preserve"> vezetője és az üzemeltetésért felelős </w:t>
      </w:r>
      <w:r w:rsidR="004159F5">
        <w:rPr>
          <w:rFonts w:eastAsiaTheme="minorHAnsi"/>
          <w:szCs w:val="22"/>
          <w:lang w:val="hu-HU"/>
        </w:rPr>
        <w:t>intézet és/vagy laborfelelős</w:t>
      </w:r>
      <w:r w:rsidRPr="004A110F">
        <w:rPr>
          <w:rFonts w:eastAsiaTheme="minorHAnsi"/>
          <w:szCs w:val="22"/>
          <w:lang w:val="hu-HU"/>
        </w:rPr>
        <w:t xml:space="preserve"> kutatási tervet dolgoznak ki, és</w:t>
      </w:r>
      <w:r w:rsidR="004159F5">
        <w:rPr>
          <w:rFonts w:eastAsiaTheme="minorHAnsi"/>
          <w:szCs w:val="22"/>
          <w:lang w:val="hu-HU"/>
        </w:rPr>
        <w:t xml:space="preserve"> </w:t>
      </w:r>
      <w:r w:rsidRPr="004A110F">
        <w:rPr>
          <w:rFonts w:eastAsiaTheme="minorHAnsi"/>
          <w:szCs w:val="22"/>
          <w:lang w:val="hu-HU"/>
        </w:rPr>
        <w:t>egyeztetnek az infrastruktúra használati rendjéről. Az ettől való minden utólagos eltérést az a</w:t>
      </w:r>
      <w:r w:rsidR="004159F5">
        <w:rPr>
          <w:rFonts w:eastAsiaTheme="minorHAnsi"/>
          <w:szCs w:val="22"/>
          <w:lang w:val="hu-HU"/>
        </w:rPr>
        <w:t>z NRRC-SKK</w:t>
      </w:r>
      <w:r w:rsidRPr="004A110F">
        <w:rPr>
          <w:rFonts w:eastAsiaTheme="minorHAnsi"/>
          <w:szCs w:val="22"/>
          <w:lang w:val="hu-HU"/>
        </w:rPr>
        <w:t xml:space="preserve"> vezetőjével egyeztetni, szükség esetén írásban rögzíteni kell. Külső felhasználók számára</w:t>
      </w:r>
      <w:r w:rsidR="004159F5">
        <w:rPr>
          <w:rFonts w:eastAsiaTheme="minorHAnsi"/>
          <w:szCs w:val="22"/>
          <w:lang w:val="hu-HU"/>
        </w:rPr>
        <w:t xml:space="preserve"> </w:t>
      </w:r>
      <w:r w:rsidRPr="004A110F">
        <w:rPr>
          <w:rFonts w:eastAsiaTheme="minorHAnsi"/>
          <w:szCs w:val="22"/>
          <w:lang w:val="hu-HU"/>
        </w:rPr>
        <w:t>a műszerek használata során felmerülő költségek non-profit áron kerülnek elszámolásra</w:t>
      </w:r>
      <w:r w:rsidR="004159F5">
        <w:rPr>
          <w:rFonts w:eastAsiaTheme="minorHAnsi"/>
          <w:szCs w:val="22"/>
          <w:lang w:val="hu-HU"/>
        </w:rPr>
        <w:t>.</w:t>
      </w:r>
    </w:p>
    <w:p w:rsidR="004A110F" w:rsidRDefault="004A110F" w:rsidP="00461E7C">
      <w:pPr>
        <w:rPr>
          <w:lang w:val="hu-HU"/>
        </w:rPr>
      </w:pPr>
    </w:p>
    <w:p w:rsidR="00E80878" w:rsidRPr="003011A3" w:rsidRDefault="00E80878" w:rsidP="00461E7C">
      <w:pPr>
        <w:rPr>
          <w:lang w:val="hu-HU"/>
        </w:rPr>
      </w:pPr>
      <w:r w:rsidRPr="003011A3">
        <w:rPr>
          <w:lang w:val="hu-HU"/>
        </w:rPr>
        <w:lastRenderedPageBreak/>
        <w:t>Mérési szolgál</w:t>
      </w:r>
      <w:r w:rsidR="003011A3" w:rsidRPr="003011A3">
        <w:rPr>
          <w:lang w:val="hu-HU"/>
        </w:rPr>
        <w:t>t</w:t>
      </w:r>
      <w:r w:rsidRPr="003011A3">
        <w:rPr>
          <w:lang w:val="hu-HU"/>
        </w:rPr>
        <w:t>atások esetén az eszközhasználat napi térítési költség</w:t>
      </w:r>
      <w:r w:rsidR="003011A3" w:rsidRPr="003011A3">
        <w:rPr>
          <w:lang w:val="hu-HU"/>
        </w:rPr>
        <w:t>ét a laboratóriumokat működtető intézetek határozzák meg, a</w:t>
      </w:r>
      <w:r w:rsidRPr="003011A3">
        <w:rPr>
          <w:lang w:val="hu-HU"/>
        </w:rPr>
        <w:t>z eszközhasználati költségen túl a díjszabás kiterjed</w:t>
      </w:r>
      <w:r w:rsidR="003011A3" w:rsidRPr="003011A3">
        <w:rPr>
          <w:lang w:val="hu-HU"/>
        </w:rPr>
        <w:t>het</w:t>
      </w:r>
      <w:r w:rsidRPr="003011A3">
        <w:rPr>
          <w:lang w:val="hu-HU"/>
        </w:rPr>
        <w:t xml:space="preserve"> a felhasznált fogyóeszközökre és a rezsiköltségre is. A rezsiköltség egy</w:t>
      </w:r>
      <w:r w:rsidR="003011A3" w:rsidRPr="003011A3">
        <w:rPr>
          <w:lang w:val="hu-HU"/>
        </w:rPr>
        <w:t xml:space="preserve">edi megállapodás tárgyát képezi. </w:t>
      </w:r>
      <w:r w:rsidRPr="003011A3">
        <w:rPr>
          <w:lang w:val="hu-HU"/>
        </w:rPr>
        <w:t xml:space="preserve">A fentieknek megfelelő teljes költségen térített szolgáltatás esetén a kapott adatok felett a megbízó rendelkezik, az </w:t>
      </w:r>
      <w:r w:rsidR="003011A3" w:rsidRPr="003011A3">
        <w:rPr>
          <w:lang w:val="hu-HU"/>
        </w:rPr>
        <w:t>NRRC-SKK</w:t>
      </w:r>
      <w:r w:rsidRPr="003011A3">
        <w:rPr>
          <w:lang w:val="hu-HU"/>
        </w:rPr>
        <w:t xml:space="preserve"> dolgozóit tudományos közleménye</w:t>
      </w:r>
      <w:r w:rsidR="003011A3" w:rsidRPr="003011A3">
        <w:rPr>
          <w:lang w:val="hu-HU"/>
        </w:rPr>
        <w:t>k</w:t>
      </w:r>
      <w:r w:rsidRPr="003011A3">
        <w:rPr>
          <w:lang w:val="hu-HU"/>
        </w:rPr>
        <w:t xml:space="preserve"> szerzőjeként nem szükséges szerepeltetni, de ebben az esetben is meg kell nevezni az </w:t>
      </w:r>
      <w:r w:rsidR="003011A3" w:rsidRPr="003011A3">
        <w:rPr>
          <w:lang w:val="hu-HU"/>
        </w:rPr>
        <w:t xml:space="preserve">NRRC-SKK </w:t>
      </w:r>
      <w:proofErr w:type="spellStart"/>
      <w:r w:rsidRPr="003011A3">
        <w:rPr>
          <w:lang w:val="hu-HU"/>
        </w:rPr>
        <w:t>-</w:t>
      </w:r>
      <w:proofErr w:type="gramStart"/>
      <w:r w:rsidRPr="003011A3">
        <w:rPr>
          <w:lang w:val="hu-HU"/>
        </w:rPr>
        <w:t>t</w:t>
      </w:r>
      <w:proofErr w:type="spellEnd"/>
      <w:proofErr w:type="gramEnd"/>
      <w:r w:rsidRPr="003011A3">
        <w:rPr>
          <w:lang w:val="hu-HU"/>
        </w:rPr>
        <w:t xml:space="preserve"> mint az elvégzett mérések helyszínét.</w:t>
      </w:r>
    </w:p>
    <w:p w:rsidR="00E80878" w:rsidRDefault="00E80878" w:rsidP="00461E7C">
      <w:pPr>
        <w:rPr>
          <w:lang w:val="hu-HU"/>
        </w:rPr>
      </w:pPr>
    </w:p>
    <w:p w:rsidR="00C1347B" w:rsidRPr="00C1347B" w:rsidRDefault="00C1347B" w:rsidP="00C1347B">
      <w:pPr>
        <w:jc w:val="both"/>
        <w:rPr>
          <w:lang w:val="hu-HU"/>
        </w:rPr>
      </w:pPr>
      <w:r w:rsidRPr="00C1347B">
        <w:rPr>
          <w:lang w:val="hu-HU"/>
        </w:rPr>
        <w:t xml:space="preserve">A tudományos együttműködésben végzett </w:t>
      </w:r>
      <w:r w:rsidRPr="00C1347B">
        <w:rPr>
          <w:lang w:val="hu-HU"/>
        </w:rPr>
        <w:t xml:space="preserve">közös </w:t>
      </w:r>
      <w:r w:rsidRPr="00C1347B">
        <w:rPr>
          <w:lang w:val="hu-HU"/>
        </w:rPr>
        <w:t xml:space="preserve">kutatás </w:t>
      </w:r>
      <w:r w:rsidRPr="00C1347B">
        <w:rPr>
          <w:bCs/>
          <w:lang w:val="hu-HU"/>
        </w:rPr>
        <w:t>intézeten belüli partnerekkel vagy más tudományos intézetekkel</w:t>
      </w:r>
      <w:r w:rsidRPr="00C1347B">
        <w:rPr>
          <w:lang w:val="hu-HU"/>
        </w:rPr>
        <w:t xml:space="preserve"> </w:t>
      </w:r>
      <w:r w:rsidRPr="00C1347B">
        <w:rPr>
          <w:lang w:val="hu-HU"/>
        </w:rPr>
        <w:t>a kölcsönös előnyök alapján történik. Térítési díjat műszerhasználatért nem számítunk fel</w:t>
      </w:r>
      <w:r>
        <w:rPr>
          <w:lang w:val="hu-HU"/>
        </w:rPr>
        <w:t>,</w:t>
      </w:r>
      <w:r w:rsidRPr="00C1347B">
        <w:rPr>
          <w:lang w:val="hu-HU"/>
        </w:rPr>
        <w:t xml:space="preserve"> </w:t>
      </w:r>
      <w:r>
        <w:rPr>
          <w:lang w:val="hu-HU"/>
        </w:rPr>
        <w:t>ha a kutatási projekt arra anyagi fedezetet nyújt, ellenkező esetben elvárás</w:t>
      </w:r>
      <w:r w:rsidRPr="00C1347B">
        <w:rPr>
          <w:lang w:val="hu-HU"/>
        </w:rPr>
        <w:t>, hogy az együttműködő partne</w:t>
      </w:r>
      <w:r>
        <w:rPr>
          <w:lang w:val="hu-HU"/>
        </w:rPr>
        <w:t xml:space="preserve">r a kutatás súlyának megfelelő arányban személyi és anyagi téren is járuljon hozzá az eszközök működtetésében, beszerzésében, </w:t>
      </w:r>
      <w:r w:rsidRPr="00C1347B">
        <w:rPr>
          <w:lang w:val="hu-HU"/>
        </w:rPr>
        <w:t>valamint a fogyóeszközök pótlásában. Az elért eredmények közzététele közös közlemény formájában történik, ahol a</w:t>
      </w:r>
      <w:r>
        <w:rPr>
          <w:lang w:val="hu-HU"/>
        </w:rPr>
        <w:t xml:space="preserve"> </w:t>
      </w:r>
      <w:r w:rsidRPr="00C1347B">
        <w:rPr>
          <w:lang w:val="hu-HU"/>
        </w:rPr>
        <w:t>kutatásban részt vevő tag</w:t>
      </w:r>
      <w:r>
        <w:rPr>
          <w:lang w:val="hu-HU"/>
        </w:rPr>
        <w:t>ok</w:t>
      </w:r>
      <w:r w:rsidRPr="00C1347B">
        <w:rPr>
          <w:lang w:val="hu-HU"/>
        </w:rPr>
        <w:t xml:space="preserve"> mind igényt tarthatnak társszerzőségre.</w:t>
      </w:r>
    </w:p>
    <w:p w:rsidR="00C1347B" w:rsidRDefault="00C1347B" w:rsidP="00461E7C">
      <w:pPr>
        <w:rPr>
          <w:lang w:val="hu-HU"/>
        </w:rPr>
      </w:pPr>
    </w:p>
    <w:p w:rsidR="00DA05A1" w:rsidRDefault="00AA0F13" w:rsidP="00AA0F13">
      <w:pPr>
        <w:autoSpaceDE w:val="0"/>
        <w:autoSpaceDN w:val="0"/>
        <w:adjustRightInd w:val="0"/>
        <w:rPr>
          <w:rFonts w:eastAsiaTheme="minorHAnsi"/>
          <w:lang w:val="hu-HU"/>
        </w:rPr>
      </w:pPr>
      <w:r w:rsidRPr="00AA0F13">
        <w:rPr>
          <w:rFonts w:eastAsiaTheme="minorHAnsi"/>
          <w:lang w:val="hu-HU"/>
        </w:rPr>
        <w:t>A</w:t>
      </w:r>
      <w:r w:rsidR="004159F5">
        <w:rPr>
          <w:rFonts w:eastAsiaTheme="minorHAnsi"/>
          <w:lang w:val="hu-HU"/>
        </w:rPr>
        <w:t>z</w:t>
      </w:r>
      <w:r w:rsidRPr="00AA0F13">
        <w:rPr>
          <w:rFonts w:eastAsiaTheme="minorHAnsi"/>
          <w:lang w:val="hu-HU"/>
        </w:rPr>
        <w:t xml:space="preserve"> </w:t>
      </w:r>
      <w:r w:rsidR="004159F5">
        <w:rPr>
          <w:rFonts w:eastAsiaTheme="minorHAnsi"/>
          <w:lang w:val="hu-HU"/>
        </w:rPr>
        <w:t>NRRC-SKK</w:t>
      </w:r>
      <w:r w:rsidRPr="00AA0F13">
        <w:rPr>
          <w:rFonts w:eastAsiaTheme="minorHAnsi"/>
          <w:lang w:val="hu-HU"/>
        </w:rPr>
        <w:t xml:space="preserve"> a szabályok be</w:t>
      </w:r>
      <w:r w:rsidRPr="00AA0F13">
        <w:rPr>
          <w:rFonts w:eastAsiaTheme="minorHAnsi"/>
          <w:lang w:val="hu-HU"/>
        </w:rPr>
        <w:t xml:space="preserve"> </w:t>
      </w:r>
      <w:r w:rsidRPr="00AA0F13">
        <w:rPr>
          <w:rFonts w:eastAsiaTheme="minorHAnsi"/>
          <w:lang w:val="hu-HU"/>
        </w:rPr>
        <w:t>nem tartó</w:t>
      </w:r>
      <w:r w:rsidRPr="00AA0F13">
        <w:rPr>
          <w:rFonts w:eastAsiaTheme="minorHAnsi"/>
          <w:lang w:val="hu-HU"/>
        </w:rPr>
        <w:t>i</w:t>
      </w:r>
      <w:r w:rsidRPr="00AA0F13">
        <w:rPr>
          <w:rFonts w:eastAsiaTheme="minorHAnsi"/>
          <w:lang w:val="hu-HU"/>
        </w:rPr>
        <w:t xml:space="preserve"> ellen fenntartja a jogot eljárni, a laborok használatát időlegesen vagy</w:t>
      </w:r>
      <w:r w:rsidRPr="00AA0F13">
        <w:rPr>
          <w:rFonts w:eastAsiaTheme="minorHAnsi"/>
          <w:lang w:val="hu-HU"/>
        </w:rPr>
        <w:t xml:space="preserve"> </w:t>
      </w:r>
      <w:r w:rsidRPr="00AA0F13">
        <w:rPr>
          <w:rFonts w:eastAsiaTheme="minorHAnsi"/>
          <w:lang w:val="hu-HU"/>
        </w:rPr>
        <w:t>véglegesen megvonni és az okozott kárt megtéríttetni.</w:t>
      </w:r>
    </w:p>
    <w:p w:rsidR="003011A3" w:rsidRDefault="003011A3" w:rsidP="00AA0F13">
      <w:pPr>
        <w:autoSpaceDE w:val="0"/>
        <w:autoSpaceDN w:val="0"/>
        <w:adjustRightInd w:val="0"/>
        <w:rPr>
          <w:rFonts w:eastAsiaTheme="minorHAnsi"/>
          <w:lang w:val="hu-HU"/>
        </w:rPr>
      </w:pPr>
    </w:p>
    <w:p w:rsidR="003011A3" w:rsidRPr="00AA0F13" w:rsidRDefault="003011A3" w:rsidP="00AA0F13">
      <w:pPr>
        <w:autoSpaceDE w:val="0"/>
        <w:autoSpaceDN w:val="0"/>
        <w:adjustRightInd w:val="0"/>
        <w:rPr>
          <w:lang w:val="hu-HU"/>
        </w:rPr>
      </w:pPr>
      <w:r>
        <w:rPr>
          <w:rFonts w:eastAsiaTheme="minorHAnsi"/>
          <w:lang w:val="hu-HU"/>
        </w:rPr>
        <w:t>Sopron, 2014.05.10.</w:t>
      </w:r>
    </w:p>
    <w:p w:rsidR="00DA05A1" w:rsidRPr="00DA05A1" w:rsidRDefault="00DA05A1" w:rsidP="00461E7C">
      <w:pPr>
        <w:rPr>
          <w:lang w:val="hu-HU"/>
        </w:rPr>
      </w:pPr>
    </w:p>
    <w:p w:rsidR="003011A3" w:rsidRDefault="003011A3">
      <w:pPr>
        <w:spacing w:after="200" w:line="276" w:lineRule="auto"/>
        <w:rPr>
          <w:sz w:val="22"/>
          <w:lang w:val="hu-HU"/>
        </w:rPr>
      </w:pPr>
      <w:r>
        <w:rPr>
          <w:sz w:val="22"/>
          <w:lang w:val="hu-HU"/>
        </w:rPr>
        <w:br w:type="page"/>
      </w:r>
    </w:p>
    <w:p w:rsidR="00A5548D" w:rsidRPr="007F1CB4" w:rsidRDefault="00A5548D" w:rsidP="00461E7C">
      <w:pPr>
        <w:rPr>
          <w:sz w:val="22"/>
          <w:lang w:val="hu-HU"/>
        </w:rPr>
      </w:pPr>
    </w:p>
    <w:p w:rsidR="00A5548D" w:rsidRPr="007F1CB4" w:rsidRDefault="00C1347B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lang w:val="hu-HU"/>
        </w:rPr>
      </w:pPr>
      <w:r>
        <w:rPr>
          <w:sz w:val="22"/>
          <w:lang w:val="hu-HU"/>
        </w:rPr>
        <w:t>1</w:t>
      </w:r>
      <w:r w:rsidR="00A5548D" w:rsidRPr="007F1CB4">
        <w:rPr>
          <w:sz w:val="22"/>
          <w:lang w:val="hu-HU"/>
        </w:rPr>
        <w:t>. Melléklet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 Bold" w:hAnsi="Times New Roman Bold"/>
          <w:sz w:val="24"/>
          <w:lang w:val="hu-HU"/>
        </w:rPr>
      </w:pPr>
      <w:r w:rsidRPr="007F1CB4">
        <w:rPr>
          <w:rFonts w:ascii="Times New Roman Bold" w:hAnsi="Times New Roman Bold"/>
          <w:sz w:val="24"/>
          <w:lang w:val="hu-HU"/>
        </w:rPr>
        <w:t>Belépési engedély munkavégzés céljából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  <w:r w:rsidRPr="007F1CB4">
        <w:rPr>
          <w:sz w:val="24"/>
          <w:lang w:val="hu-HU"/>
        </w:rPr>
        <w:t>Szervezeti egység:</w:t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  <w:t>______________________________________________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  <w:r w:rsidRPr="007F1CB4">
        <w:rPr>
          <w:sz w:val="24"/>
          <w:lang w:val="hu-HU"/>
        </w:rPr>
        <w:t>Dolgozó/hallgató neve:</w:t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  <w:t>______________________________________________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  <w:r w:rsidRPr="007F1CB4">
        <w:rPr>
          <w:sz w:val="24"/>
          <w:lang w:val="hu-HU"/>
        </w:rPr>
        <w:t>A munkavégzés célja:</w:t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  <w:t>______________________________________________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  <w:r w:rsidRPr="007F1CB4">
        <w:rPr>
          <w:sz w:val="24"/>
          <w:lang w:val="hu-HU"/>
        </w:rPr>
        <w:t>Labor száma/neve:</w:t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  <w:t>______________________________________________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  <w:r w:rsidRPr="007F1CB4">
        <w:rPr>
          <w:sz w:val="24"/>
          <w:lang w:val="hu-HU"/>
        </w:rPr>
        <w:t>Benntartózkodás időtartama:</w:t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  <w:t>______________________________________________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4"/>
          <w:lang w:val="hu-HU"/>
        </w:rPr>
      </w:pPr>
      <w:r w:rsidRPr="007F1CB4">
        <w:rPr>
          <w:rFonts w:ascii="Times New Roman Bold" w:hAnsi="Times New Roman Bold"/>
          <w:sz w:val="24"/>
          <w:lang w:val="hu-HU"/>
        </w:rPr>
        <w:t>Portaszolgálat tölti ki: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  <w:r w:rsidRPr="007F1CB4">
        <w:rPr>
          <w:sz w:val="24"/>
          <w:lang w:val="hu-HU"/>
        </w:rPr>
        <w:t>Belépés időpontja:</w:t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  <w:t>______________________________________________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  <w:r w:rsidRPr="007F1CB4">
        <w:rPr>
          <w:sz w:val="24"/>
          <w:lang w:val="hu-HU"/>
        </w:rPr>
        <w:t>Kilépés időpontja:</w:t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  <w:t>______________________________________________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  <w:r w:rsidRPr="007F1CB4">
        <w:rPr>
          <w:sz w:val="24"/>
          <w:lang w:val="hu-HU"/>
        </w:rPr>
        <w:t>Portás aláírása:</w:t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</w:r>
      <w:r w:rsidRPr="007F1CB4">
        <w:rPr>
          <w:sz w:val="24"/>
          <w:lang w:val="hu-HU"/>
        </w:rPr>
        <w:tab/>
        <w:t>______________________________________________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lang w:val="hu-HU"/>
        </w:rPr>
      </w:pPr>
      <w:r w:rsidRPr="007F1CB4">
        <w:rPr>
          <w:sz w:val="24"/>
          <w:lang w:val="hu-HU"/>
        </w:rPr>
        <w:t>A munkavégzés céljából a benntartózkodó felelősséggel tartozik az általa használt épület biztonsági szabályainak betartásáért (ajtók, ablakok, közművek, biztonsági berendezések) megfelelő használatáért, köteles az NRRC és az intézet laborhasználati szabályait betartani.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  <w:r w:rsidRPr="007F1CB4">
        <w:rPr>
          <w:sz w:val="24"/>
          <w:lang w:val="hu-HU"/>
        </w:rPr>
        <w:t>Sopron, 20__. ________________</w:t>
      </w: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  <w:bookmarkStart w:id="0" w:name="_GoBack"/>
      <w:bookmarkEnd w:id="0"/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hu-H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2"/>
        <w:gridCol w:w="4532"/>
      </w:tblGrid>
      <w:tr w:rsidR="00A5548D" w:rsidRPr="007F1CB4" w:rsidTr="00C16D27">
        <w:trPr>
          <w:cantSplit/>
          <w:trHeight w:val="540"/>
        </w:trPr>
        <w:tc>
          <w:tcPr>
            <w:tcW w:w="4532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48D" w:rsidRPr="007F1CB4" w:rsidRDefault="00A5548D" w:rsidP="00C16D27">
            <w:pPr>
              <w:pStyle w:val="Norml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sz w:val="24"/>
                <w:lang w:val="hu-HU"/>
              </w:rPr>
            </w:pPr>
            <w:r w:rsidRPr="007F1CB4">
              <w:rPr>
                <w:sz w:val="24"/>
                <w:lang w:val="hu-HU"/>
              </w:rPr>
              <w:t>________________________</w:t>
            </w:r>
          </w:p>
          <w:p w:rsidR="00A5548D" w:rsidRPr="007F1CB4" w:rsidRDefault="00A5548D" w:rsidP="00C16D27">
            <w:pPr>
              <w:pStyle w:val="Norml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sz w:val="24"/>
                <w:lang w:val="hu-HU"/>
              </w:rPr>
            </w:pPr>
            <w:r w:rsidRPr="007F1CB4">
              <w:rPr>
                <w:sz w:val="24"/>
                <w:lang w:val="hu-HU"/>
              </w:rPr>
              <w:t>Szervezeti egység vezetője</w:t>
            </w:r>
          </w:p>
        </w:tc>
        <w:tc>
          <w:tcPr>
            <w:tcW w:w="4532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48D" w:rsidRPr="007F1CB4" w:rsidRDefault="00A5548D" w:rsidP="00C16D27">
            <w:pPr>
              <w:pStyle w:val="Norml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sz w:val="24"/>
                <w:lang w:val="hu-HU"/>
              </w:rPr>
            </w:pPr>
            <w:r w:rsidRPr="007F1CB4">
              <w:rPr>
                <w:sz w:val="24"/>
                <w:lang w:val="hu-HU"/>
              </w:rPr>
              <w:t>________________________</w:t>
            </w:r>
          </w:p>
          <w:p w:rsidR="00A5548D" w:rsidRPr="007F1CB4" w:rsidRDefault="00A5548D" w:rsidP="00C16D27">
            <w:pPr>
              <w:pStyle w:val="Norml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sz w:val="24"/>
                <w:lang w:val="hu-HU"/>
              </w:rPr>
            </w:pPr>
            <w:r w:rsidRPr="007F1CB4">
              <w:rPr>
                <w:sz w:val="24"/>
                <w:lang w:val="hu-HU"/>
              </w:rPr>
              <w:t>Laborfelelős</w:t>
            </w:r>
          </w:p>
        </w:tc>
      </w:tr>
    </w:tbl>
    <w:p w:rsidR="00A5548D" w:rsidRPr="007F1CB4" w:rsidRDefault="00A5548D" w:rsidP="00A5548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lang w:val="hu-HU" w:eastAsia="hu-HU" w:bidi="x-none"/>
        </w:rPr>
      </w:pPr>
    </w:p>
    <w:p w:rsidR="00A5548D" w:rsidRPr="007F1CB4" w:rsidRDefault="00A5548D" w:rsidP="00461E7C">
      <w:pPr>
        <w:rPr>
          <w:lang w:val="hu-HU"/>
        </w:rPr>
      </w:pPr>
    </w:p>
    <w:sectPr w:rsidR="00A5548D" w:rsidRPr="007F1CB4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54" w:rsidRDefault="000C6A54" w:rsidP="006874EA">
      <w:r>
        <w:separator/>
      </w:r>
    </w:p>
  </w:endnote>
  <w:endnote w:type="continuationSeparator" w:id="0">
    <w:p w:rsidR="000C6A54" w:rsidRDefault="000C6A54" w:rsidP="0068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54" w:rsidRDefault="000C6A54" w:rsidP="006874EA">
      <w:r>
        <w:separator/>
      </w:r>
    </w:p>
  </w:footnote>
  <w:footnote w:type="continuationSeparator" w:id="0">
    <w:p w:rsidR="000C6A54" w:rsidRDefault="000C6A54" w:rsidP="00687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101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4394"/>
      <w:gridCol w:w="3696"/>
    </w:tblGrid>
    <w:tr w:rsidR="006874EA" w:rsidTr="006874EA">
      <w:trPr>
        <w:trHeight w:val="1348"/>
      </w:trPr>
      <w:tc>
        <w:tcPr>
          <w:tcW w:w="2093" w:type="dxa"/>
        </w:tcPr>
        <w:p w:rsidR="006874EA" w:rsidRDefault="006874EA" w:rsidP="006874EA">
          <w:pPr>
            <w:pStyle w:val="lfej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noProof/>
              <w:sz w:val="24"/>
              <w:szCs w:val="24"/>
              <w:lang w:val="hu-HU" w:eastAsia="hu-HU"/>
            </w:rPr>
            <w:drawing>
              <wp:anchor distT="0" distB="0" distL="0" distR="0" simplePos="0" relativeHeight="251659264" behindDoc="1" locked="0" layoutInCell="1" allowOverlap="1" wp14:anchorId="769867FA" wp14:editId="4FD9E29F">
                <wp:simplePos x="0" y="0"/>
                <wp:positionH relativeFrom="column">
                  <wp:posOffset>-4445</wp:posOffset>
                </wp:positionH>
                <wp:positionV relativeFrom="paragraph">
                  <wp:posOffset>-36830</wp:posOffset>
                </wp:positionV>
                <wp:extent cx="1076325" cy="1076325"/>
                <wp:effectExtent l="0" t="0" r="9525" b="9525"/>
                <wp:wrapThrough wrapText="bothSides">
                  <wp:wrapPolygon edited="0">
                    <wp:start x="0" y="0"/>
                    <wp:lineTo x="0" y="21409"/>
                    <wp:lineTo x="21409" y="21409"/>
                    <wp:lineTo x="21409" y="0"/>
                    <wp:lineTo x="0" y="0"/>
                  </wp:wrapPolygon>
                </wp:wrapThrough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vAlign w:val="center"/>
        </w:tcPr>
        <w:p w:rsidR="006874EA" w:rsidRPr="006874EA" w:rsidRDefault="006874EA" w:rsidP="006874EA">
          <w:pPr>
            <w:pStyle w:val="lfej"/>
            <w:widowControl w:val="0"/>
            <w:spacing w:line="360" w:lineRule="auto"/>
            <w:jc w:val="center"/>
            <w:rPr>
              <w:rFonts w:ascii="Arial Narrow" w:hAnsi="Arial Narrow" w:cs="Arial"/>
              <w:b/>
              <w:sz w:val="22"/>
            </w:rPr>
          </w:pPr>
          <w:r w:rsidRPr="006874EA">
            <w:rPr>
              <w:rFonts w:ascii="Arial Narrow" w:hAnsi="Arial Narrow" w:cs="Arial"/>
              <w:sz w:val="22"/>
            </w:rPr>
            <w:t>NYUGAT-MAGYARORSZÁGI EGYETEM</w:t>
          </w:r>
        </w:p>
        <w:p w:rsidR="006874EA" w:rsidRPr="006874EA" w:rsidRDefault="006874EA" w:rsidP="006874EA">
          <w:pPr>
            <w:pStyle w:val="lfej"/>
            <w:widowControl w:val="0"/>
            <w:spacing w:line="360" w:lineRule="auto"/>
            <w:jc w:val="center"/>
            <w:rPr>
              <w:rFonts w:ascii="Arial Narrow" w:hAnsi="Arial Narrow" w:cs="Arial"/>
              <w:b/>
              <w:sz w:val="22"/>
            </w:rPr>
          </w:pPr>
          <w:r w:rsidRPr="006874EA">
            <w:rPr>
              <w:rFonts w:ascii="Arial Narrow" w:hAnsi="Arial Narrow" w:cs="Arial"/>
              <w:b/>
              <w:sz w:val="22"/>
            </w:rPr>
            <w:t>SIMONYI KÁROLY MŰSZAKI,</w:t>
          </w:r>
        </w:p>
        <w:p w:rsidR="006874EA" w:rsidRDefault="006874EA" w:rsidP="006874EA">
          <w:pPr>
            <w:pStyle w:val="lfej"/>
            <w:widowControl w:val="0"/>
            <w:spacing w:line="360" w:lineRule="auto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6874EA">
            <w:rPr>
              <w:rFonts w:ascii="Arial Narrow" w:hAnsi="Arial Narrow" w:cs="Arial"/>
              <w:b/>
              <w:sz w:val="22"/>
            </w:rPr>
            <w:t>FAANYAGTUDOMÁNYI ÉS MŰVÉSZETI KAR</w:t>
          </w:r>
        </w:p>
      </w:tc>
      <w:tc>
        <w:tcPr>
          <w:tcW w:w="3696" w:type="dxa"/>
        </w:tcPr>
        <w:p w:rsidR="006874EA" w:rsidRDefault="006874EA" w:rsidP="006874EA">
          <w:pPr>
            <w:pStyle w:val="lfej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60288" behindDoc="0" locked="0" layoutInCell="1" allowOverlap="1" wp14:anchorId="399E4161" wp14:editId="073F0A7F">
                <wp:simplePos x="0" y="0"/>
                <wp:positionH relativeFrom="column">
                  <wp:posOffset>61595</wp:posOffset>
                </wp:positionH>
                <wp:positionV relativeFrom="paragraph">
                  <wp:posOffset>174625</wp:posOffset>
                </wp:positionV>
                <wp:extent cx="1828800" cy="696856"/>
                <wp:effectExtent l="0" t="0" r="0" b="8255"/>
                <wp:wrapNone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96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874EA" w:rsidRDefault="006874E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00000003"/>
    <w:multiLevelType w:val="multilevel"/>
    <w:tmpl w:val="894EE875"/>
    <w:lvl w:ilvl="0">
      <w:start w:val="5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2">
    <w:nsid w:val="012A5568"/>
    <w:multiLevelType w:val="hybridMultilevel"/>
    <w:tmpl w:val="972275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9254B"/>
    <w:multiLevelType w:val="multilevel"/>
    <w:tmpl w:val="BFD4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017AA"/>
    <w:multiLevelType w:val="multilevel"/>
    <w:tmpl w:val="35D6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E2AEF"/>
    <w:multiLevelType w:val="multilevel"/>
    <w:tmpl w:val="B12E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12CA1"/>
    <w:multiLevelType w:val="multilevel"/>
    <w:tmpl w:val="8BA2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201E5"/>
    <w:multiLevelType w:val="multilevel"/>
    <w:tmpl w:val="D8E6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D09E8"/>
    <w:multiLevelType w:val="multilevel"/>
    <w:tmpl w:val="8D84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20722"/>
    <w:multiLevelType w:val="multilevel"/>
    <w:tmpl w:val="AA24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EA"/>
    <w:rsid w:val="000A3A25"/>
    <w:rsid w:val="000C6A54"/>
    <w:rsid w:val="001118C6"/>
    <w:rsid w:val="003011A3"/>
    <w:rsid w:val="004159F5"/>
    <w:rsid w:val="00461E7C"/>
    <w:rsid w:val="004A110F"/>
    <w:rsid w:val="004B4F70"/>
    <w:rsid w:val="005E4342"/>
    <w:rsid w:val="0061292B"/>
    <w:rsid w:val="006874EA"/>
    <w:rsid w:val="007F1CB4"/>
    <w:rsid w:val="00821BBE"/>
    <w:rsid w:val="00A5548D"/>
    <w:rsid w:val="00AA0F13"/>
    <w:rsid w:val="00BE0F52"/>
    <w:rsid w:val="00BF20BD"/>
    <w:rsid w:val="00C121AB"/>
    <w:rsid w:val="00C1347B"/>
    <w:rsid w:val="00CF17A2"/>
    <w:rsid w:val="00D260CC"/>
    <w:rsid w:val="00D74659"/>
    <w:rsid w:val="00DA05A1"/>
    <w:rsid w:val="00E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7F1CB4"/>
    <w:pPr>
      <w:spacing w:before="100" w:beforeAutospacing="1" w:after="100" w:afterAutospacing="1"/>
      <w:outlineLvl w:val="2"/>
    </w:pPr>
    <w:rPr>
      <w:b/>
      <w:bCs/>
      <w:sz w:val="27"/>
      <w:szCs w:val="27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74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74E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874EA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6874EA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6874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4EA"/>
  </w:style>
  <w:style w:type="table" w:styleId="Rcsostblzat">
    <w:name w:val="Table Grid"/>
    <w:basedOn w:val="Normltblzat"/>
    <w:uiPriority w:val="59"/>
    <w:rsid w:val="0068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rsid w:val="00461E7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F1CB4"/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paragraph" w:styleId="NormlWeb">
    <w:name w:val="Normal (Web)"/>
    <w:basedOn w:val="Norml"/>
    <w:uiPriority w:val="99"/>
    <w:semiHidden/>
    <w:unhideWhenUsed/>
    <w:rsid w:val="007F1CB4"/>
    <w:pPr>
      <w:spacing w:before="100" w:beforeAutospacing="1" w:after="100" w:afterAutospacing="1"/>
    </w:pPr>
    <w:rPr>
      <w:lang w:val="hu-HU" w:eastAsia="hu-HU"/>
    </w:rPr>
  </w:style>
  <w:style w:type="paragraph" w:styleId="Listaszerbekezds">
    <w:name w:val="List Paragraph"/>
    <w:basedOn w:val="Norml"/>
    <w:uiPriority w:val="34"/>
    <w:qFormat/>
    <w:rsid w:val="00DA05A1"/>
    <w:pPr>
      <w:ind w:left="720"/>
      <w:contextualSpacing/>
    </w:pPr>
  </w:style>
  <w:style w:type="paragraph" w:customStyle="1" w:styleId="Default">
    <w:name w:val="Default"/>
    <w:rsid w:val="00D260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118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18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18C6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18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18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7F1CB4"/>
    <w:pPr>
      <w:spacing w:before="100" w:beforeAutospacing="1" w:after="100" w:afterAutospacing="1"/>
      <w:outlineLvl w:val="2"/>
    </w:pPr>
    <w:rPr>
      <w:b/>
      <w:bCs/>
      <w:sz w:val="27"/>
      <w:szCs w:val="27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74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74E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874EA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6874EA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6874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4EA"/>
  </w:style>
  <w:style w:type="table" w:styleId="Rcsostblzat">
    <w:name w:val="Table Grid"/>
    <w:basedOn w:val="Normltblzat"/>
    <w:uiPriority w:val="59"/>
    <w:rsid w:val="0068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rsid w:val="00461E7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F1CB4"/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paragraph" w:styleId="NormlWeb">
    <w:name w:val="Normal (Web)"/>
    <w:basedOn w:val="Norml"/>
    <w:uiPriority w:val="99"/>
    <w:semiHidden/>
    <w:unhideWhenUsed/>
    <w:rsid w:val="007F1CB4"/>
    <w:pPr>
      <w:spacing w:before="100" w:beforeAutospacing="1" w:after="100" w:afterAutospacing="1"/>
    </w:pPr>
    <w:rPr>
      <w:lang w:val="hu-HU" w:eastAsia="hu-HU"/>
    </w:rPr>
  </w:style>
  <w:style w:type="paragraph" w:styleId="Listaszerbekezds">
    <w:name w:val="List Paragraph"/>
    <w:basedOn w:val="Norml"/>
    <w:uiPriority w:val="34"/>
    <w:qFormat/>
    <w:rsid w:val="00DA05A1"/>
    <w:pPr>
      <w:ind w:left="720"/>
      <w:contextualSpacing/>
    </w:pPr>
  </w:style>
  <w:style w:type="paragraph" w:customStyle="1" w:styleId="Default">
    <w:name w:val="Default"/>
    <w:rsid w:val="00D260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118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18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18C6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18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18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829">
              <w:marLeft w:val="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8340">
                  <w:marLeft w:val="225"/>
                  <w:marRight w:val="0"/>
                  <w:marTop w:val="0"/>
                  <w:marBottom w:val="0"/>
                  <w:divBdr>
                    <w:top w:val="single" w:sz="6" w:space="0" w:color="E1E2E1"/>
                    <w:left w:val="single" w:sz="6" w:space="0" w:color="E1E2E1"/>
                    <w:bottom w:val="single" w:sz="6" w:space="0" w:color="E1E2E1"/>
                    <w:right w:val="single" w:sz="6" w:space="0" w:color="E1E2E1"/>
                  </w:divBdr>
                  <w:divsChild>
                    <w:div w:id="3457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FCE8-B8A5-4459-8C9F-82013A0F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1221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dfg</vt:lpstr>
    </vt:vector>
  </TitlesOfParts>
  <Company>NYME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dfg</dc:title>
  <dc:creator>Dénes Levente</dc:creator>
  <cp:lastModifiedBy>Dénes Levente</cp:lastModifiedBy>
  <cp:revision>13</cp:revision>
  <dcterms:created xsi:type="dcterms:W3CDTF">2014-05-12T21:17:00Z</dcterms:created>
  <dcterms:modified xsi:type="dcterms:W3CDTF">2014-05-12T23:49:00Z</dcterms:modified>
</cp:coreProperties>
</file>